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9E4" w:rsidRDefault="00BB3842" w:rsidP="00BB3842">
      <w:pPr>
        <w:jc w:val="center"/>
        <w:rPr>
          <w:rFonts w:ascii="Times New Roman" w:hAnsi="Times New Roman" w:cs="Times New Roman"/>
          <w:sz w:val="26"/>
          <w:szCs w:val="26"/>
        </w:rPr>
      </w:pPr>
      <w:r>
        <w:rPr>
          <w:rFonts w:ascii="Times New Roman" w:hAnsi="Times New Roman" w:cs="Times New Roman"/>
          <w:b/>
          <w:sz w:val="26"/>
          <w:szCs w:val="26"/>
        </w:rPr>
        <w:t>СОДЕРЖАНИЕ МИКРОЭЛЕМЕНТОВ В ОБЪЕКТАХ БИОСФЕРЫ</w:t>
      </w:r>
    </w:p>
    <w:p w:rsidR="00BB3842" w:rsidRDefault="00BB3842" w:rsidP="00BB3842">
      <w:pPr>
        <w:jc w:val="both"/>
        <w:rPr>
          <w:rFonts w:ascii="Times New Roman" w:hAnsi="Times New Roman" w:cs="Times New Roman"/>
          <w:sz w:val="26"/>
          <w:szCs w:val="26"/>
        </w:rPr>
      </w:pPr>
      <w:r>
        <w:rPr>
          <w:rFonts w:ascii="Times New Roman" w:hAnsi="Times New Roman" w:cs="Times New Roman"/>
          <w:sz w:val="26"/>
          <w:szCs w:val="26"/>
        </w:rPr>
        <w:t xml:space="preserve">К микроэлементам обычно относят </w:t>
      </w:r>
      <w:r>
        <w:rPr>
          <w:rFonts w:ascii="Times New Roman" w:hAnsi="Times New Roman" w:cs="Times New Roman"/>
          <w:sz w:val="26"/>
          <w:szCs w:val="26"/>
          <w:lang w:val="en-US"/>
        </w:rPr>
        <w:t>Li</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B</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F</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Ti</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V</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Cr</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Mn</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Co</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Ni</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Cu</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Zn</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Se</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Rb</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Zr</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Mo</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Ag</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Cd</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Sn</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I</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Cs</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W</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Ag</w:t>
      </w:r>
      <w:r w:rsidRPr="00BB3842">
        <w:rPr>
          <w:rFonts w:ascii="Times New Roman" w:hAnsi="Times New Roman" w:cs="Times New Roman"/>
          <w:sz w:val="26"/>
          <w:szCs w:val="26"/>
        </w:rPr>
        <w:t xml:space="preserve">, </w:t>
      </w:r>
      <w:r>
        <w:rPr>
          <w:rFonts w:ascii="Times New Roman" w:hAnsi="Times New Roman" w:cs="Times New Roman"/>
          <w:sz w:val="26"/>
          <w:szCs w:val="26"/>
          <w:lang w:val="en-US"/>
        </w:rPr>
        <w:t>Bi</w:t>
      </w:r>
      <w:r w:rsidRPr="00BB3842">
        <w:rPr>
          <w:rFonts w:ascii="Times New Roman" w:hAnsi="Times New Roman" w:cs="Times New Roman"/>
          <w:sz w:val="26"/>
          <w:szCs w:val="26"/>
        </w:rPr>
        <w:t xml:space="preserve">. </w:t>
      </w:r>
      <w:r>
        <w:rPr>
          <w:rFonts w:ascii="Times New Roman" w:hAnsi="Times New Roman" w:cs="Times New Roman"/>
          <w:sz w:val="26"/>
          <w:szCs w:val="26"/>
        </w:rPr>
        <w:t>Многие другие элементы, так же обычно содержащиеся в малых количествах, нередко относятся к токсическим элементам, таковы ртуть, свинец, кадмий. Несмотря на это, стоит подчеркнуть, что и обычные микроэлементы, когда их слишком много, могут стать токсичными (так же, между прочим, как и макроэлементы) а токсичные элементы при очень малых концентрациях</w:t>
      </w:r>
      <w:r w:rsidR="00B22265">
        <w:rPr>
          <w:rFonts w:ascii="Times New Roman" w:hAnsi="Times New Roman" w:cs="Times New Roman"/>
          <w:sz w:val="26"/>
          <w:szCs w:val="26"/>
        </w:rPr>
        <w:t xml:space="preserve"> не оказывают вредного воздействия на растения и животный мир. </w:t>
      </w:r>
      <w:r w:rsidR="00B22265" w:rsidRPr="00B22265">
        <w:rPr>
          <w:rFonts w:ascii="Times New Roman" w:hAnsi="Times New Roman" w:cs="Times New Roman"/>
          <w:i/>
          <w:sz w:val="26"/>
          <w:szCs w:val="26"/>
        </w:rPr>
        <w:t>Иными словами, если быть точным, нет токсичных элементов, а есть их токсичные концентрации</w:t>
      </w:r>
      <w:r w:rsidR="00B22265">
        <w:rPr>
          <w:rFonts w:ascii="Times New Roman" w:hAnsi="Times New Roman" w:cs="Times New Roman"/>
          <w:i/>
          <w:sz w:val="26"/>
          <w:szCs w:val="26"/>
        </w:rPr>
        <w:t>.</w:t>
      </w:r>
      <w:r w:rsidR="00B22265">
        <w:rPr>
          <w:rFonts w:ascii="Times New Roman" w:hAnsi="Times New Roman" w:cs="Times New Roman"/>
          <w:sz w:val="26"/>
          <w:szCs w:val="26"/>
        </w:rPr>
        <w:t xml:space="preserve"> </w:t>
      </w:r>
    </w:p>
    <w:p w:rsidR="00B22265" w:rsidRDefault="00B22265" w:rsidP="00BB3842">
      <w:pPr>
        <w:jc w:val="both"/>
        <w:rPr>
          <w:rFonts w:ascii="Times New Roman" w:hAnsi="Times New Roman" w:cs="Times New Roman"/>
          <w:sz w:val="26"/>
          <w:szCs w:val="26"/>
        </w:rPr>
      </w:pPr>
      <w:r>
        <w:rPr>
          <w:rFonts w:ascii="Times New Roman" w:hAnsi="Times New Roman" w:cs="Times New Roman"/>
          <w:sz w:val="26"/>
          <w:szCs w:val="26"/>
        </w:rPr>
        <w:tab/>
        <w:t>В большинстве почв около половины всей массы представлено кислородом</w:t>
      </w:r>
      <w:r w:rsidR="007C3574">
        <w:rPr>
          <w:rFonts w:ascii="Times New Roman" w:hAnsi="Times New Roman" w:cs="Times New Roman"/>
          <w:sz w:val="26"/>
          <w:szCs w:val="26"/>
        </w:rPr>
        <w:t xml:space="preserve">, конечно не свободным, входящим в состав оксидов, солей сложных органических веществ или алюмосиликатов. Второе место по массе занимает кремний, затем алюминий и железо. Кальций составляет не более 2-2,5 % массы. </w:t>
      </w:r>
      <w:proofErr w:type="gramStart"/>
      <w:r w:rsidR="007C3574">
        <w:rPr>
          <w:rFonts w:ascii="Times New Roman" w:hAnsi="Times New Roman" w:cs="Times New Roman"/>
          <w:sz w:val="26"/>
          <w:szCs w:val="26"/>
        </w:rPr>
        <w:t xml:space="preserve">Магния, калия, натрия, серы, титана и марганца в  сумме обычно содержится не более 3%. Тогда как на долю всех микроэлементов (если не считать </w:t>
      </w:r>
      <w:r w:rsidR="007C3574">
        <w:rPr>
          <w:rFonts w:ascii="Times New Roman" w:hAnsi="Times New Roman" w:cs="Times New Roman"/>
          <w:sz w:val="26"/>
          <w:szCs w:val="26"/>
          <w:lang w:val="en-US"/>
        </w:rPr>
        <w:t>Mn</w:t>
      </w:r>
      <w:r w:rsidR="007C3574">
        <w:rPr>
          <w:rFonts w:ascii="Times New Roman" w:hAnsi="Times New Roman" w:cs="Times New Roman"/>
          <w:sz w:val="26"/>
          <w:szCs w:val="26"/>
        </w:rPr>
        <w:t xml:space="preserve"> и</w:t>
      </w:r>
      <w:r w:rsidR="007C3574" w:rsidRPr="007C3574">
        <w:rPr>
          <w:rFonts w:ascii="Times New Roman" w:hAnsi="Times New Roman" w:cs="Times New Roman"/>
          <w:sz w:val="26"/>
          <w:szCs w:val="26"/>
        </w:rPr>
        <w:t xml:space="preserve"> </w:t>
      </w:r>
      <w:r w:rsidR="007C3574">
        <w:rPr>
          <w:rFonts w:ascii="Times New Roman" w:hAnsi="Times New Roman" w:cs="Times New Roman"/>
          <w:sz w:val="26"/>
          <w:szCs w:val="26"/>
          <w:lang w:val="en-US"/>
        </w:rPr>
        <w:t>Fe</w:t>
      </w:r>
      <w:r w:rsidR="007C3574">
        <w:rPr>
          <w:rFonts w:ascii="Times New Roman" w:hAnsi="Times New Roman" w:cs="Times New Roman"/>
          <w:sz w:val="26"/>
          <w:szCs w:val="26"/>
        </w:rPr>
        <w:t>, которые иногда выполняют такую же роль) приходится менее 1%. Содержание микроэлементов в почвах и других объектах биосферы чаще выражают не в процентах, а в мг</w:t>
      </w:r>
      <w:r w:rsidR="007C3574" w:rsidRPr="007C3574">
        <w:rPr>
          <w:rFonts w:ascii="Times New Roman" w:hAnsi="Times New Roman" w:cs="Times New Roman"/>
          <w:sz w:val="26"/>
          <w:szCs w:val="26"/>
        </w:rPr>
        <w:t>/</w:t>
      </w:r>
      <w:r w:rsidR="007C3574">
        <w:rPr>
          <w:rFonts w:ascii="Times New Roman" w:hAnsi="Times New Roman" w:cs="Times New Roman"/>
          <w:sz w:val="26"/>
          <w:szCs w:val="26"/>
        </w:rPr>
        <w:t xml:space="preserve">кг или по западным нормативам в </w:t>
      </w:r>
      <w:r w:rsidR="007C3574">
        <w:rPr>
          <w:rFonts w:ascii="Times New Roman" w:hAnsi="Times New Roman" w:cs="Times New Roman"/>
          <w:sz w:val="26"/>
          <w:szCs w:val="26"/>
          <w:lang w:val="en-US"/>
        </w:rPr>
        <w:t>ppm</w:t>
      </w:r>
      <w:r w:rsidR="007C3574">
        <w:rPr>
          <w:rFonts w:ascii="Times New Roman" w:hAnsi="Times New Roman" w:cs="Times New Roman"/>
          <w:sz w:val="26"/>
          <w:szCs w:val="26"/>
        </w:rPr>
        <w:t>, (частей на</w:t>
      </w:r>
      <w:proofErr w:type="gramEnd"/>
      <w:r w:rsidR="007C3574">
        <w:rPr>
          <w:rFonts w:ascii="Times New Roman" w:hAnsi="Times New Roman" w:cs="Times New Roman"/>
          <w:sz w:val="26"/>
          <w:szCs w:val="26"/>
        </w:rPr>
        <w:t xml:space="preserve"> миллион, что соответствует принятой в Беларуси размерности в мг</w:t>
      </w:r>
      <w:r w:rsidR="007C3574" w:rsidRPr="007C3574">
        <w:rPr>
          <w:rFonts w:ascii="Times New Roman" w:hAnsi="Times New Roman" w:cs="Times New Roman"/>
          <w:sz w:val="26"/>
          <w:szCs w:val="26"/>
        </w:rPr>
        <w:t>/</w:t>
      </w:r>
      <w:r w:rsidR="007C3574">
        <w:rPr>
          <w:rFonts w:ascii="Times New Roman" w:hAnsi="Times New Roman" w:cs="Times New Roman"/>
          <w:sz w:val="26"/>
          <w:szCs w:val="26"/>
        </w:rPr>
        <w:t>кг). Среднее содержание некоторых микроэлементов в биосфере приведено в таблице</w:t>
      </w:r>
      <w:proofErr w:type="gramStart"/>
      <w:r w:rsidR="0062706C">
        <w:rPr>
          <w:rFonts w:ascii="Times New Roman" w:hAnsi="Times New Roman" w:cs="Times New Roman"/>
          <w:sz w:val="26"/>
          <w:szCs w:val="26"/>
        </w:rPr>
        <w:t>1</w:t>
      </w:r>
      <w:proofErr w:type="gramEnd"/>
      <w:r w:rsidR="007C3574">
        <w:rPr>
          <w:rFonts w:ascii="Times New Roman" w:hAnsi="Times New Roman" w:cs="Times New Roman"/>
          <w:sz w:val="26"/>
          <w:szCs w:val="26"/>
        </w:rPr>
        <w:t>.</w:t>
      </w:r>
    </w:p>
    <w:p w:rsidR="007C3574" w:rsidRDefault="0062706C" w:rsidP="00BB3842">
      <w:pPr>
        <w:jc w:val="both"/>
        <w:rPr>
          <w:rFonts w:ascii="Times New Roman" w:hAnsi="Times New Roman" w:cs="Times New Roman"/>
          <w:sz w:val="26"/>
          <w:szCs w:val="26"/>
        </w:rPr>
      </w:pPr>
      <w:r>
        <w:rPr>
          <w:rFonts w:ascii="Times New Roman" w:hAnsi="Times New Roman" w:cs="Times New Roman"/>
          <w:sz w:val="26"/>
          <w:szCs w:val="26"/>
        </w:rPr>
        <w:t xml:space="preserve">Таблица 1- </w:t>
      </w:r>
      <w:r w:rsidR="007C3574">
        <w:rPr>
          <w:rFonts w:ascii="Times New Roman" w:hAnsi="Times New Roman" w:cs="Times New Roman"/>
          <w:sz w:val="26"/>
          <w:szCs w:val="26"/>
        </w:rPr>
        <w:t>Среднее содержание некоторых микроэлементов в биосфере (мг</w:t>
      </w:r>
      <w:r w:rsidR="007C3574" w:rsidRPr="007C3574">
        <w:rPr>
          <w:rFonts w:ascii="Times New Roman" w:hAnsi="Times New Roman" w:cs="Times New Roman"/>
          <w:sz w:val="26"/>
          <w:szCs w:val="26"/>
        </w:rPr>
        <w:t>/</w:t>
      </w:r>
      <w:r w:rsidR="007C3574">
        <w:rPr>
          <w:rFonts w:ascii="Times New Roman" w:hAnsi="Times New Roman" w:cs="Times New Roman"/>
          <w:sz w:val="26"/>
          <w:szCs w:val="26"/>
        </w:rPr>
        <w:t>кг)</w:t>
      </w:r>
    </w:p>
    <w:tbl>
      <w:tblPr>
        <w:tblStyle w:val="a3"/>
        <w:tblW w:w="0" w:type="auto"/>
        <w:tblLook w:val="04A0"/>
      </w:tblPr>
      <w:tblGrid>
        <w:gridCol w:w="2670"/>
        <w:gridCol w:w="2670"/>
        <w:gridCol w:w="2671"/>
        <w:gridCol w:w="2671"/>
      </w:tblGrid>
      <w:tr w:rsidR="007C3574" w:rsidTr="007C3574">
        <w:tc>
          <w:tcPr>
            <w:tcW w:w="2670" w:type="dxa"/>
          </w:tcPr>
          <w:p w:rsidR="007C3574" w:rsidRPr="003B40E8" w:rsidRDefault="003B40E8" w:rsidP="007C3574">
            <w:pPr>
              <w:jc w:val="center"/>
              <w:rPr>
                <w:rFonts w:ascii="Times New Roman" w:hAnsi="Times New Roman" w:cs="Times New Roman"/>
                <w:b/>
                <w:sz w:val="26"/>
                <w:szCs w:val="26"/>
              </w:rPr>
            </w:pPr>
            <w:r>
              <w:rPr>
                <w:rFonts w:ascii="Times New Roman" w:hAnsi="Times New Roman" w:cs="Times New Roman"/>
                <w:b/>
                <w:sz w:val="26"/>
                <w:szCs w:val="26"/>
              </w:rPr>
              <w:t>Элемент</w:t>
            </w:r>
          </w:p>
        </w:tc>
        <w:tc>
          <w:tcPr>
            <w:tcW w:w="2670" w:type="dxa"/>
          </w:tcPr>
          <w:p w:rsidR="007C3574" w:rsidRPr="003B40E8" w:rsidRDefault="003B40E8" w:rsidP="007C3574">
            <w:pPr>
              <w:jc w:val="center"/>
              <w:rPr>
                <w:rFonts w:ascii="Times New Roman" w:hAnsi="Times New Roman" w:cs="Times New Roman"/>
                <w:b/>
                <w:sz w:val="26"/>
                <w:szCs w:val="26"/>
              </w:rPr>
            </w:pPr>
            <w:r>
              <w:rPr>
                <w:rFonts w:ascii="Times New Roman" w:hAnsi="Times New Roman" w:cs="Times New Roman"/>
                <w:b/>
                <w:sz w:val="26"/>
                <w:szCs w:val="26"/>
              </w:rPr>
              <w:t>Литосфера</w:t>
            </w:r>
          </w:p>
        </w:tc>
        <w:tc>
          <w:tcPr>
            <w:tcW w:w="2671" w:type="dxa"/>
          </w:tcPr>
          <w:p w:rsidR="007C3574" w:rsidRPr="003B40E8" w:rsidRDefault="003B40E8" w:rsidP="007C3574">
            <w:pPr>
              <w:jc w:val="center"/>
              <w:rPr>
                <w:rFonts w:ascii="Times New Roman" w:hAnsi="Times New Roman" w:cs="Times New Roman"/>
                <w:b/>
                <w:sz w:val="26"/>
                <w:szCs w:val="26"/>
              </w:rPr>
            </w:pPr>
            <w:r>
              <w:rPr>
                <w:rFonts w:ascii="Times New Roman" w:hAnsi="Times New Roman" w:cs="Times New Roman"/>
                <w:b/>
                <w:sz w:val="26"/>
                <w:szCs w:val="26"/>
              </w:rPr>
              <w:t>Почва</w:t>
            </w:r>
          </w:p>
        </w:tc>
        <w:tc>
          <w:tcPr>
            <w:tcW w:w="2671" w:type="dxa"/>
          </w:tcPr>
          <w:p w:rsidR="007C3574" w:rsidRPr="003B40E8" w:rsidRDefault="003B40E8" w:rsidP="007C3574">
            <w:pPr>
              <w:jc w:val="center"/>
              <w:rPr>
                <w:rFonts w:ascii="Times New Roman" w:hAnsi="Times New Roman" w:cs="Times New Roman"/>
                <w:b/>
                <w:sz w:val="26"/>
                <w:szCs w:val="26"/>
              </w:rPr>
            </w:pPr>
            <w:r>
              <w:rPr>
                <w:rFonts w:ascii="Times New Roman" w:hAnsi="Times New Roman" w:cs="Times New Roman"/>
                <w:b/>
                <w:sz w:val="26"/>
                <w:szCs w:val="26"/>
              </w:rPr>
              <w:t>Растения (в золе)</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Li</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32</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30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11</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Be</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4</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6</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B</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12</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400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F</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660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Na</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25 000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6 300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20 000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Mg</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18 700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6 300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70 000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P</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930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800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70 000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S</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470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850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50 000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Ti</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4 500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4 600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1 000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V</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90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61</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Cr</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83</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250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Mn</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1 000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850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750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Co</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18</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15</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Ni</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58</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40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50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Cu</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47</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Zn</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85</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50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900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Se</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0,5</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0,01</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Mo</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1,1</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I</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0,4</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5,0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50,0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Au</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0,04</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1,0</w:t>
            </w:r>
          </w:p>
        </w:tc>
      </w:tr>
      <w:tr w:rsidR="007C3574" w:rsidTr="007C3574">
        <w:tc>
          <w:tcPr>
            <w:tcW w:w="2670" w:type="dxa"/>
          </w:tcPr>
          <w:p w:rsidR="007C3574" w:rsidRPr="003B40E8" w:rsidRDefault="003B40E8" w:rsidP="007C3574">
            <w:pPr>
              <w:jc w:val="center"/>
              <w:rPr>
                <w:rFonts w:ascii="Times New Roman" w:hAnsi="Times New Roman" w:cs="Times New Roman"/>
                <w:sz w:val="26"/>
                <w:szCs w:val="26"/>
                <w:lang w:val="en-US"/>
              </w:rPr>
            </w:pPr>
            <w:r>
              <w:rPr>
                <w:rFonts w:ascii="Times New Roman" w:hAnsi="Times New Roman" w:cs="Times New Roman"/>
                <w:sz w:val="26"/>
                <w:szCs w:val="26"/>
                <w:lang w:val="en-US"/>
              </w:rPr>
              <w:t>U</w:t>
            </w:r>
          </w:p>
        </w:tc>
        <w:tc>
          <w:tcPr>
            <w:tcW w:w="2670"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2,5</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1,0</w:t>
            </w:r>
          </w:p>
        </w:tc>
        <w:tc>
          <w:tcPr>
            <w:tcW w:w="2671" w:type="dxa"/>
          </w:tcPr>
          <w:p w:rsidR="007C3574" w:rsidRDefault="003B40E8" w:rsidP="007C3574">
            <w:pPr>
              <w:jc w:val="center"/>
              <w:rPr>
                <w:rFonts w:ascii="Times New Roman" w:hAnsi="Times New Roman" w:cs="Times New Roman"/>
                <w:sz w:val="26"/>
                <w:szCs w:val="26"/>
              </w:rPr>
            </w:pPr>
            <w:r>
              <w:rPr>
                <w:rFonts w:ascii="Times New Roman" w:hAnsi="Times New Roman" w:cs="Times New Roman"/>
                <w:sz w:val="26"/>
                <w:szCs w:val="26"/>
              </w:rPr>
              <w:t>0,5</w:t>
            </w:r>
          </w:p>
        </w:tc>
      </w:tr>
    </w:tbl>
    <w:p w:rsidR="007C3574" w:rsidRDefault="007C3574" w:rsidP="00BB3842">
      <w:pPr>
        <w:jc w:val="both"/>
        <w:rPr>
          <w:rFonts w:ascii="Times New Roman" w:hAnsi="Times New Roman" w:cs="Times New Roman"/>
          <w:sz w:val="26"/>
          <w:szCs w:val="26"/>
        </w:rPr>
      </w:pPr>
    </w:p>
    <w:p w:rsidR="003B40E8" w:rsidRDefault="003B40E8" w:rsidP="00BB3842">
      <w:pPr>
        <w:jc w:val="both"/>
        <w:rPr>
          <w:rFonts w:ascii="Times New Roman" w:hAnsi="Times New Roman" w:cs="Times New Roman"/>
          <w:sz w:val="26"/>
          <w:szCs w:val="26"/>
        </w:rPr>
      </w:pPr>
    </w:p>
    <w:p w:rsidR="003B40E8" w:rsidRDefault="003B40E8" w:rsidP="003B40E8">
      <w:pPr>
        <w:ind w:firstLine="708"/>
        <w:jc w:val="both"/>
        <w:rPr>
          <w:rFonts w:ascii="Times New Roman" w:hAnsi="Times New Roman" w:cs="Times New Roman"/>
          <w:sz w:val="26"/>
          <w:szCs w:val="26"/>
        </w:rPr>
      </w:pPr>
      <w:r w:rsidRPr="003B40E8">
        <w:rPr>
          <w:rFonts w:ascii="Times New Roman" w:hAnsi="Times New Roman" w:cs="Times New Roman"/>
          <w:i/>
          <w:sz w:val="26"/>
          <w:szCs w:val="26"/>
        </w:rPr>
        <w:lastRenderedPageBreak/>
        <w:t>Преобладающая часть содержащихся в почве микроэлементов растениям недоступна.</w:t>
      </w:r>
      <w:r>
        <w:rPr>
          <w:rFonts w:ascii="Times New Roman" w:hAnsi="Times New Roman" w:cs="Times New Roman"/>
          <w:sz w:val="26"/>
          <w:szCs w:val="26"/>
        </w:rPr>
        <w:t xml:space="preserve"> </w:t>
      </w:r>
      <w:proofErr w:type="gramStart"/>
      <w:r>
        <w:rPr>
          <w:rFonts w:ascii="Times New Roman" w:hAnsi="Times New Roman" w:cs="Times New Roman"/>
          <w:sz w:val="26"/>
          <w:szCs w:val="26"/>
        </w:rPr>
        <w:t xml:space="preserve">Так называемые подвижные соединения </w:t>
      </w:r>
      <w:r>
        <w:rPr>
          <w:rFonts w:ascii="Times New Roman" w:hAnsi="Times New Roman" w:cs="Times New Roman"/>
          <w:sz w:val="26"/>
          <w:szCs w:val="26"/>
          <w:lang w:val="en-US"/>
        </w:rPr>
        <w:t>Cu</w:t>
      </w:r>
      <w:r w:rsidRPr="004614E5">
        <w:rPr>
          <w:rFonts w:ascii="Times New Roman" w:hAnsi="Times New Roman" w:cs="Times New Roman"/>
          <w:sz w:val="26"/>
          <w:szCs w:val="26"/>
        </w:rPr>
        <w:t xml:space="preserve">, </w:t>
      </w:r>
      <w:r>
        <w:rPr>
          <w:rFonts w:ascii="Times New Roman" w:hAnsi="Times New Roman" w:cs="Times New Roman"/>
          <w:sz w:val="26"/>
          <w:szCs w:val="26"/>
          <w:lang w:val="en-US"/>
        </w:rPr>
        <w:t>Co</w:t>
      </w:r>
      <w:r w:rsidRPr="004614E5">
        <w:rPr>
          <w:rFonts w:ascii="Times New Roman" w:hAnsi="Times New Roman" w:cs="Times New Roman"/>
          <w:sz w:val="26"/>
          <w:szCs w:val="26"/>
        </w:rPr>
        <w:t xml:space="preserve">, </w:t>
      </w:r>
      <w:r>
        <w:rPr>
          <w:rFonts w:ascii="Times New Roman" w:hAnsi="Times New Roman" w:cs="Times New Roman"/>
          <w:sz w:val="26"/>
          <w:szCs w:val="26"/>
          <w:lang w:val="en-US"/>
        </w:rPr>
        <w:t>Mn</w:t>
      </w:r>
      <w:r w:rsidR="004614E5">
        <w:rPr>
          <w:rFonts w:ascii="Times New Roman" w:hAnsi="Times New Roman" w:cs="Times New Roman"/>
          <w:sz w:val="26"/>
          <w:szCs w:val="26"/>
        </w:rPr>
        <w:t xml:space="preserve"> (то есть доступные растениям) составляют только 10-25% общего количества, для </w:t>
      </w:r>
      <w:r w:rsidR="004614E5">
        <w:rPr>
          <w:rFonts w:ascii="Times New Roman" w:hAnsi="Times New Roman" w:cs="Times New Roman"/>
          <w:sz w:val="26"/>
          <w:szCs w:val="26"/>
          <w:lang w:val="en-US"/>
        </w:rPr>
        <w:t>Zn</w:t>
      </w:r>
      <w:r w:rsidR="004614E5">
        <w:rPr>
          <w:rFonts w:ascii="Times New Roman" w:hAnsi="Times New Roman" w:cs="Times New Roman"/>
          <w:sz w:val="26"/>
          <w:szCs w:val="26"/>
        </w:rPr>
        <w:t xml:space="preserve"> и Мо их доля и того меньше, иногда до 1%. Одна из причин</w:t>
      </w:r>
      <w:r w:rsidR="00294B90">
        <w:rPr>
          <w:rFonts w:ascii="Times New Roman" w:hAnsi="Times New Roman" w:cs="Times New Roman"/>
          <w:sz w:val="26"/>
          <w:szCs w:val="26"/>
        </w:rPr>
        <w:t xml:space="preserve"> заключается </w:t>
      </w:r>
      <w:r w:rsidR="005E66B2">
        <w:rPr>
          <w:rFonts w:ascii="Times New Roman" w:hAnsi="Times New Roman" w:cs="Times New Roman"/>
          <w:sz w:val="26"/>
          <w:szCs w:val="26"/>
        </w:rPr>
        <w:t>в том, что</w:t>
      </w:r>
      <w:r w:rsidR="007B6D56">
        <w:rPr>
          <w:rFonts w:ascii="Times New Roman" w:hAnsi="Times New Roman" w:cs="Times New Roman"/>
          <w:sz w:val="26"/>
          <w:szCs w:val="26"/>
        </w:rPr>
        <w:t xml:space="preserve"> значительная часть их входит в состав почвенных минералов, нередко состоящих из песчаных частиц, а так же частицы быстро не подвергаются разрушающему действию дождевых вод или</w:t>
      </w:r>
      <w:proofErr w:type="gramEnd"/>
      <w:r w:rsidR="007B6D56">
        <w:rPr>
          <w:rFonts w:ascii="Times New Roman" w:hAnsi="Times New Roman" w:cs="Times New Roman"/>
          <w:sz w:val="26"/>
          <w:szCs w:val="26"/>
        </w:rPr>
        <w:t xml:space="preserve"> корневых выделений, и поэтому входящие в их состав элементы  питания растениями не усваиваются.</w:t>
      </w:r>
    </w:p>
    <w:p w:rsidR="007B6D56" w:rsidRDefault="007B6D56" w:rsidP="003B40E8">
      <w:pPr>
        <w:ind w:firstLine="708"/>
        <w:jc w:val="both"/>
        <w:rPr>
          <w:rFonts w:ascii="Times New Roman" w:hAnsi="Times New Roman" w:cs="Times New Roman"/>
          <w:sz w:val="26"/>
          <w:szCs w:val="26"/>
        </w:rPr>
      </w:pPr>
      <w:r>
        <w:rPr>
          <w:rFonts w:ascii="Times New Roman" w:hAnsi="Times New Roman" w:cs="Times New Roman"/>
          <w:sz w:val="26"/>
          <w:szCs w:val="26"/>
        </w:rPr>
        <w:t>В почвах и породах присутствуют микроэлементы в различных соединениях: переходящие в водные вытяжки, вытесняемые из твердых фаз солевыми растворами (обменные катионы), извлекаемые ацетатно-аммонийным буферным раствором (эти соединения считаются доступными для растений), кислоторастворимые соединения и, наконец, микроэлементы, входящие в состав различных почвенных минералов. Иногда не правильно считают, что те элементы, которые извлекаются из почв и пород водой, представлены водорастворимыми солями. На самом деле микроэлементы могут быть в форме труднорастворимых карбонатов, гидроксидов, сульфидов, но в водной вытяжке они все же обнаруживаются в количествах, соответствующих произведениям</w:t>
      </w:r>
      <w:r w:rsidR="00F96295">
        <w:rPr>
          <w:rFonts w:ascii="Times New Roman" w:hAnsi="Times New Roman" w:cs="Times New Roman"/>
          <w:sz w:val="26"/>
          <w:szCs w:val="26"/>
        </w:rPr>
        <w:t xml:space="preserve"> растворимости соответствующих солей. Поэтому, </w:t>
      </w:r>
      <w:r w:rsidR="00F96295" w:rsidRPr="00F96295">
        <w:rPr>
          <w:rFonts w:ascii="Times New Roman" w:hAnsi="Times New Roman" w:cs="Times New Roman"/>
          <w:i/>
          <w:sz w:val="26"/>
          <w:szCs w:val="26"/>
        </w:rPr>
        <w:t>если в водной вытяжке содержание элемента мало, это не означает, что его мало и в твердых фазах, а объясняется низкой растворимостью преобладающих соединений.</w:t>
      </w:r>
    </w:p>
    <w:p w:rsidR="00F96295" w:rsidRDefault="00F96295" w:rsidP="003B40E8">
      <w:pPr>
        <w:ind w:firstLine="708"/>
        <w:jc w:val="both"/>
        <w:rPr>
          <w:rFonts w:ascii="Times New Roman" w:hAnsi="Times New Roman" w:cs="Times New Roman"/>
          <w:sz w:val="26"/>
          <w:szCs w:val="26"/>
        </w:rPr>
      </w:pPr>
      <w:r>
        <w:rPr>
          <w:rFonts w:ascii="Times New Roman" w:hAnsi="Times New Roman" w:cs="Times New Roman"/>
          <w:sz w:val="26"/>
          <w:szCs w:val="26"/>
        </w:rPr>
        <w:t>Соотношение микроэлементов в почве и литосфере для многих элементов сходно: чем больше элемента в литосфере, тем больше его же и в почве, однако строгой пропорциональности нет; если, например, содержание лития в почвах и литосфере</w:t>
      </w:r>
      <w:r w:rsidR="00835C9F">
        <w:rPr>
          <w:rFonts w:ascii="Times New Roman" w:hAnsi="Times New Roman" w:cs="Times New Roman"/>
          <w:sz w:val="26"/>
          <w:szCs w:val="26"/>
        </w:rPr>
        <w:t xml:space="preserve"> почти одинаковое, то серы больше в почвах, а никеля, меди, цинка больше в литосфере. Одна из причин – аккумуляция многих элементов живыми организмами, в частности растениями, после отмирания которых микроэлементы </w:t>
      </w:r>
      <w:proofErr w:type="gramStart"/>
      <w:r w:rsidR="00835C9F">
        <w:rPr>
          <w:rFonts w:ascii="Times New Roman" w:hAnsi="Times New Roman" w:cs="Times New Roman"/>
          <w:sz w:val="26"/>
          <w:szCs w:val="26"/>
        </w:rPr>
        <w:t>попадают</w:t>
      </w:r>
      <w:proofErr w:type="gramEnd"/>
      <w:r w:rsidR="00835C9F">
        <w:rPr>
          <w:rFonts w:ascii="Times New Roman" w:hAnsi="Times New Roman" w:cs="Times New Roman"/>
          <w:sz w:val="26"/>
          <w:szCs w:val="26"/>
        </w:rPr>
        <w:t xml:space="preserve"> прежде всего в почву. Это отчетливо видно на примере элементов биофилов, содержание которых в золе растений  во много раз выше, чем в литосфере и почве.</w:t>
      </w:r>
    </w:p>
    <w:p w:rsidR="00835C9F" w:rsidRDefault="00835C9F" w:rsidP="003B40E8">
      <w:pPr>
        <w:ind w:firstLine="708"/>
        <w:jc w:val="both"/>
        <w:rPr>
          <w:rFonts w:ascii="Times New Roman" w:hAnsi="Times New Roman" w:cs="Times New Roman"/>
          <w:sz w:val="26"/>
          <w:szCs w:val="26"/>
        </w:rPr>
      </w:pPr>
      <w:r>
        <w:rPr>
          <w:rFonts w:ascii="Times New Roman" w:hAnsi="Times New Roman" w:cs="Times New Roman"/>
          <w:sz w:val="26"/>
          <w:szCs w:val="26"/>
        </w:rPr>
        <w:t>В живых организмах микроэлементы входят в состав ферментов, гормонов, витаминов и других жизненно важных соединений. Обычно считают, что в таких соединениях участвуют около 30 микроэлементов. Ферменты это катализаторы биологического происхождения, которые ускоряют биохимические реакции, а активность ферментов регулируется микроэлементами, хотя известны случаи, когда активация ферментов возможна как микроэлементами, так и макроэлементами.</w:t>
      </w:r>
    </w:p>
    <w:p w:rsidR="006A36B9" w:rsidRDefault="006A36B9" w:rsidP="003B40E8">
      <w:pPr>
        <w:ind w:firstLine="708"/>
        <w:jc w:val="both"/>
        <w:rPr>
          <w:rFonts w:ascii="Times New Roman" w:hAnsi="Times New Roman" w:cs="Times New Roman"/>
          <w:sz w:val="26"/>
          <w:szCs w:val="26"/>
        </w:rPr>
      </w:pPr>
      <w:r>
        <w:rPr>
          <w:rFonts w:ascii="Times New Roman" w:hAnsi="Times New Roman" w:cs="Times New Roman"/>
          <w:sz w:val="26"/>
          <w:szCs w:val="26"/>
        </w:rPr>
        <w:t>Экспериментально доказано, что микроэлементы необходимы для многих важнейших биохимических процессов, недостаток элементов замедляет эти процессы</w:t>
      </w:r>
      <w:r w:rsidR="00D92B84">
        <w:rPr>
          <w:rFonts w:ascii="Times New Roman" w:hAnsi="Times New Roman" w:cs="Times New Roman"/>
          <w:sz w:val="26"/>
          <w:szCs w:val="26"/>
        </w:rPr>
        <w:t xml:space="preserve"> и </w:t>
      </w:r>
      <w:proofErr w:type="gramStart"/>
      <w:r w:rsidR="00D92B84">
        <w:rPr>
          <w:rFonts w:ascii="Times New Roman" w:hAnsi="Times New Roman" w:cs="Times New Roman"/>
          <w:sz w:val="26"/>
          <w:szCs w:val="26"/>
        </w:rPr>
        <w:t>до</w:t>
      </w:r>
      <w:proofErr w:type="gramEnd"/>
      <w:r w:rsidR="00D92B84">
        <w:rPr>
          <w:rFonts w:ascii="Times New Roman" w:hAnsi="Times New Roman" w:cs="Times New Roman"/>
          <w:sz w:val="26"/>
          <w:szCs w:val="26"/>
        </w:rPr>
        <w:t xml:space="preserve"> же останавливает их. Для белкового, углеводного и жирового обмена веществ </w:t>
      </w:r>
      <w:proofErr w:type="gramStart"/>
      <w:r w:rsidR="00D92B84">
        <w:rPr>
          <w:rFonts w:ascii="Times New Roman" w:hAnsi="Times New Roman" w:cs="Times New Roman"/>
          <w:sz w:val="26"/>
          <w:szCs w:val="26"/>
        </w:rPr>
        <w:t>необходимы</w:t>
      </w:r>
      <w:proofErr w:type="gramEnd"/>
      <w:r w:rsid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Mo</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Fe</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V</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Co</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W</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B</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Mn</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Zn</w:t>
      </w:r>
      <w:r w:rsidR="00D92B84">
        <w:rPr>
          <w:rFonts w:ascii="Times New Roman" w:hAnsi="Times New Roman" w:cs="Times New Roman"/>
          <w:sz w:val="26"/>
          <w:szCs w:val="26"/>
        </w:rPr>
        <w:t xml:space="preserve">; в синтезе белков участвуют </w:t>
      </w:r>
      <w:r w:rsidR="00D92B84">
        <w:rPr>
          <w:rFonts w:ascii="Times New Roman" w:hAnsi="Times New Roman" w:cs="Times New Roman"/>
          <w:sz w:val="26"/>
          <w:szCs w:val="26"/>
          <w:lang w:val="en-US"/>
        </w:rPr>
        <w:t>Mg</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Mn</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Fe</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Co</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Cu</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Ni</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Cr</w:t>
      </w:r>
      <w:r w:rsidR="00D92B84">
        <w:rPr>
          <w:rFonts w:ascii="Times New Roman" w:hAnsi="Times New Roman" w:cs="Times New Roman"/>
          <w:sz w:val="26"/>
          <w:szCs w:val="26"/>
        </w:rPr>
        <w:t xml:space="preserve">; в кровотворении – </w:t>
      </w:r>
      <w:r w:rsidR="00D92B84">
        <w:rPr>
          <w:rFonts w:ascii="Times New Roman" w:hAnsi="Times New Roman" w:cs="Times New Roman"/>
          <w:sz w:val="26"/>
          <w:szCs w:val="26"/>
          <w:lang w:val="en-US"/>
        </w:rPr>
        <w:t>Co</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Cu</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Mn</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Ni</w:t>
      </w:r>
      <w:r w:rsidR="00D92B84" w:rsidRPr="00D92B84">
        <w:rPr>
          <w:rFonts w:ascii="Times New Roman" w:hAnsi="Times New Roman" w:cs="Times New Roman"/>
          <w:sz w:val="26"/>
          <w:szCs w:val="26"/>
        </w:rPr>
        <w:t xml:space="preserve">, </w:t>
      </w:r>
      <w:r w:rsidR="00D92B84">
        <w:rPr>
          <w:rFonts w:ascii="Times New Roman" w:hAnsi="Times New Roman" w:cs="Times New Roman"/>
          <w:sz w:val="26"/>
          <w:szCs w:val="26"/>
          <w:lang w:val="en-US"/>
        </w:rPr>
        <w:t>Zn</w:t>
      </w:r>
      <w:r w:rsidR="000E78CE">
        <w:rPr>
          <w:rFonts w:ascii="Times New Roman" w:hAnsi="Times New Roman" w:cs="Times New Roman"/>
          <w:sz w:val="26"/>
          <w:szCs w:val="26"/>
        </w:rPr>
        <w:t xml:space="preserve">; в дыхании – </w:t>
      </w:r>
      <w:r w:rsidR="000E78CE">
        <w:rPr>
          <w:rFonts w:ascii="Times New Roman" w:hAnsi="Times New Roman" w:cs="Times New Roman"/>
          <w:sz w:val="26"/>
          <w:szCs w:val="26"/>
          <w:lang w:val="en-US"/>
        </w:rPr>
        <w:t>Mg</w:t>
      </w:r>
      <w:r w:rsidR="000E78CE" w:rsidRPr="000E78CE">
        <w:rPr>
          <w:rFonts w:ascii="Times New Roman" w:hAnsi="Times New Roman" w:cs="Times New Roman"/>
          <w:sz w:val="26"/>
          <w:szCs w:val="26"/>
        </w:rPr>
        <w:t xml:space="preserve">, </w:t>
      </w:r>
      <w:r w:rsidR="000E78CE">
        <w:rPr>
          <w:rFonts w:ascii="Times New Roman" w:hAnsi="Times New Roman" w:cs="Times New Roman"/>
          <w:sz w:val="26"/>
          <w:szCs w:val="26"/>
          <w:lang w:val="en-US"/>
        </w:rPr>
        <w:t>Fe</w:t>
      </w:r>
      <w:r w:rsidR="000E78CE" w:rsidRPr="000E78CE">
        <w:rPr>
          <w:rFonts w:ascii="Times New Roman" w:hAnsi="Times New Roman" w:cs="Times New Roman"/>
          <w:sz w:val="26"/>
          <w:szCs w:val="26"/>
        </w:rPr>
        <w:t xml:space="preserve">, </w:t>
      </w:r>
      <w:r w:rsidR="000E78CE">
        <w:rPr>
          <w:rFonts w:ascii="Times New Roman" w:hAnsi="Times New Roman" w:cs="Times New Roman"/>
          <w:sz w:val="26"/>
          <w:szCs w:val="26"/>
          <w:lang w:val="en-US"/>
        </w:rPr>
        <w:t>Cu</w:t>
      </w:r>
      <w:r w:rsidR="000E78CE" w:rsidRPr="000E78CE">
        <w:rPr>
          <w:rFonts w:ascii="Times New Roman" w:hAnsi="Times New Roman" w:cs="Times New Roman"/>
          <w:sz w:val="26"/>
          <w:szCs w:val="26"/>
        </w:rPr>
        <w:t xml:space="preserve">, </w:t>
      </w:r>
      <w:r w:rsidR="000E78CE">
        <w:rPr>
          <w:rFonts w:ascii="Times New Roman" w:hAnsi="Times New Roman" w:cs="Times New Roman"/>
          <w:sz w:val="26"/>
          <w:szCs w:val="26"/>
          <w:lang w:val="en-US"/>
        </w:rPr>
        <w:t>Zn</w:t>
      </w:r>
      <w:r w:rsidR="000E78CE" w:rsidRPr="000E78CE">
        <w:rPr>
          <w:rFonts w:ascii="Times New Roman" w:hAnsi="Times New Roman" w:cs="Times New Roman"/>
          <w:sz w:val="26"/>
          <w:szCs w:val="26"/>
        </w:rPr>
        <w:t xml:space="preserve">, </w:t>
      </w:r>
      <w:r w:rsidR="000E78CE">
        <w:rPr>
          <w:rFonts w:ascii="Times New Roman" w:hAnsi="Times New Roman" w:cs="Times New Roman"/>
          <w:sz w:val="26"/>
          <w:szCs w:val="26"/>
          <w:lang w:val="en-US"/>
        </w:rPr>
        <w:t>Mn</w:t>
      </w:r>
      <w:r w:rsidR="000E78CE" w:rsidRPr="000E78CE">
        <w:rPr>
          <w:rFonts w:ascii="Times New Roman" w:hAnsi="Times New Roman" w:cs="Times New Roman"/>
          <w:sz w:val="26"/>
          <w:szCs w:val="26"/>
        </w:rPr>
        <w:t xml:space="preserve">, </w:t>
      </w:r>
      <w:r w:rsidR="000E78CE">
        <w:rPr>
          <w:rFonts w:ascii="Times New Roman" w:hAnsi="Times New Roman" w:cs="Times New Roman"/>
          <w:sz w:val="26"/>
          <w:szCs w:val="26"/>
          <w:lang w:val="en-US"/>
        </w:rPr>
        <w:t>Co</w:t>
      </w:r>
      <w:r w:rsidR="000E78CE">
        <w:rPr>
          <w:rFonts w:ascii="Times New Roman" w:hAnsi="Times New Roman" w:cs="Times New Roman"/>
          <w:sz w:val="26"/>
          <w:szCs w:val="26"/>
        </w:rPr>
        <w:t>. Поэтому микроэлементы нашли широкое практическое применение в качестве микроудобрений овощных культур.</w:t>
      </w:r>
    </w:p>
    <w:p w:rsidR="000E78CE" w:rsidRDefault="000E78CE" w:rsidP="003B40E8">
      <w:pPr>
        <w:ind w:firstLine="708"/>
        <w:jc w:val="both"/>
        <w:rPr>
          <w:rFonts w:ascii="Times New Roman" w:hAnsi="Times New Roman" w:cs="Times New Roman"/>
          <w:sz w:val="26"/>
          <w:szCs w:val="26"/>
        </w:rPr>
      </w:pPr>
    </w:p>
    <w:p w:rsidR="000E78CE" w:rsidRDefault="000E78CE" w:rsidP="003B40E8">
      <w:pPr>
        <w:ind w:firstLine="708"/>
        <w:jc w:val="both"/>
        <w:rPr>
          <w:rFonts w:ascii="Times New Roman" w:hAnsi="Times New Roman" w:cs="Times New Roman"/>
          <w:sz w:val="26"/>
          <w:szCs w:val="26"/>
        </w:rPr>
      </w:pPr>
      <w:r>
        <w:rPr>
          <w:rFonts w:ascii="Times New Roman" w:hAnsi="Times New Roman" w:cs="Times New Roman"/>
          <w:sz w:val="26"/>
          <w:szCs w:val="26"/>
        </w:rPr>
        <w:lastRenderedPageBreak/>
        <w:t>Пищевые цепи, в которых участвуют микроэлементы, довольно сложны. Первичными источниками микроэлементов могут быть преимущественно горные породы, частично атмосфера, воздух и почвенно-грунтовые воды. Микроэлементы потребляются растениями, главным образом из почвы, но некоторые микроэлементы из воздуха и воды. Важно подчеркнуть, что оседающая атмосферная пыль также может стать источником микроэлементов, которые проникают в растения и животных непосредственно через эпидермис или эпителий.</w:t>
      </w:r>
    </w:p>
    <w:p w:rsidR="000E78CE" w:rsidRDefault="000E78CE" w:rsidP="003B40E8">
      <w:pPr>
        <w:ind w:firstLine="708"/>
        <w:jc w:val="both"/>
        <w:rPr>
          <w:rFonts w:ascii="Times New Roman" w:hAnsi="Times New Roman" w:cs="Times New Roman"/>
          <w:sz w:val="26"/>
          <w:szCs w:val="26"/>
        </w:rPr>
      </w:pPr>
      <w:r>
        <w:rPr>
          <w:rFonts w:ascii="Times New Roman" w:hAnsi="Times New Roman" w:cs="Times New Roman"/>
          <w:sz w:val="26"/>
          <w:szCs w:val="26"/>
        </w:rPr>
        <w:t>На первых этапах изучения микроэлементов преобладало мнение, что они существенны только для живых организмов</w:t>
      </w:r>
      <w:r w:rsidR="00740B7D">
        <w:rPr>
          <w:rFonts w:ascii="Times New Roman" w:hAnsi="Times New Roman" w:cs="Times New Roman"/>
          <w:sz w:val="26"/>
          <w:szCs w:val="26"/>
        </w:rPr>
        <w:t xml:space="preserve">. Последующие исследования показали, что </w:t>
      </w:r>
      <w:proofErr w:type="gramStart"/>
      <w:r w:rsidR="00740B7D">
        <w:rPr>
          <w:rFonts w:ascii="Times New Roman" w:hAnsi="Times New Roman" w:cs="Times New Roman"/>
          <w:sz w:val="26"/>
          <w:szCs w:val="26"/>
        </w:rPr>
        <w:t>да же</w:t>
      </w:r>
      <w:proofErr w:type="gramEnd"/>
      <w:r w:rsidR="00740B7D">
        <w:rPr>
          <w:rFonts w:ascii="Times New Roman" w:hAnsi="Times New Roman" w:cs="Times New Roman"/>
          <w:sz w:val="26"/>
          <w:szCs w:val="26"/>
        </w:rPr>
        <w:t xml:space="preserve"> при малом содержании многие микроэлементы могут существенно влиять на процессы почвообразования и активно в них участвовать.</w:t>
      </w:r>
    </w:p>
    <w:p w:rsidR="00740B7D" w:rsidRDefault="00740B7D" w:rsidP="003B40E8">
      <w:pPr>
        <w:ind w:firstLine="708"/>
        <w:jc w:val="both"/>
        <w:rPr>
          <w:rFonts w:ascii="Times New Roman" w:hAnsi="Times New Roman" w:cs="Times New Roman"/>
          <w:sz w:val="26"/>
          <w:szCs w:val="26"/>
        </w:rPr>
      </w:pPr>
      <w:r>
        <w:rPr>
          <w:rFonts w:ascii="Times New Roman" w:hAnsi="Times New Roman" w:cs="Times New Roman"/>
          <w:sz w:val="26"/>
          <w:szCs w:val="26"/>
        </w:rPr>
        <w:t>Поскольку микроэлементы воздействуют  на развитие растений, то все почвенные биохимические процессы накопления, трансформации, переноса органических соединений в экосистеме во многом зависят от уровня содержания и набора микроэлементов; одновременно последние стимулируют деятельность микроорганизмов. В результате интенсифицируются процессы образования гуминовых веществ в почвах из растительных остатков. На содержание и распределение микроэлементов активно влияют многие процессы формирования почвенного профиля</w:t>
      </w:r>
      <w:r w:rsidR="0062706C">
        <w:rPr>
          <w:rFonts w:ascii="Times New Roman" w:hAnsi="Times New Roman" w:cs="Times New Roman"/>
          <w:sz w:val="26"/>
          <w:szCs w:val="26"/>
        </w:rPr>
        <w:t xml:space="preserve">. </w:t>
      </w:r>
      <w:proofErr w:type="gramStart"/>
      <w:r w:rsidR="0062706C">
        <w:rPr>
          <w:rFonts w:ascii="Times New Roman" w:hAnsi="Times New Roman" w:cs="Times New Roman"/>
          <w:sz w:val="26"/>
          <w:szCs w:val="26"/>
        </w:rPr>
        <w:t>Они выносятся из элювиальных (оподзоленных, осолоделых) горизонтов, накапливаются в иллювиальных горизонтах (горизонтов вымывания), глеевых (восстановленных) горизонтах.</w:t>
      </w:r>
      <w:proofErr w:type="gramEnd"/>
    </w:p>
    <w:p w:rsidR="0062706C" w:rsidRDefault="0062706C" w:rsidP="003B40E8">
      <w:pPr>
        <w:ind w:firstLine="708"/>
        <w:jc w:val="both"/>
        <w:rPr>
          <w:rFonts w:ascii="Times New Roman" w:hAnsi="Times New Roman" w:cs="Times New Roman"/>
          <w:sz w:val="26"/>
          <w:szCs w:val="26"/>
        </w:rPr>
      </w:pPr>
      <w:r>
        <w:rPr>
          <w:rFonts w:ascii="Times New Roman" w:hAnsi="Times New Roman" w:cs="Times New Roman"/>
          <w:sz w:val="26"/>
          <w:szCs w:val="26"/>
        </w:rPr>
        <w:t>Общая схема участия микроэлементов в различных почвенных процессах по В.А. Ковде представлена в таблице 2. В ней показаны важнейшие процессы, происходящие в почве, участвующие в этих процессах микроэлементы, и те почвы или почвенные горизонты и образования, в которых накапливаются микроэлементы.</w:t>
      </w:r>
    </w:p>
    <w:p w:rsidR="0062706C" w:rsidRDefault="0062706C" w:rsidP="003B40E8">
      <w:pPr>
        <w:ind w:firstLine="708"/>
        <w:jc w:val="both"/>
        <w:rPr>
          <w:rFonts w:ascii="Times New Roman" w:hAnsi="Times New Roman" w:cs="Times New Roman"/>
          <w:sz w:val="26"/>
          <w:szCs w:val="26"/>
        </w:rPr>
      </w:pPr>
      <w:r>
        <w:rPr>
          <w:rFonts w:ascii="Times New Roman" w:hAnsi="Times New Roman" w:cs="Times New Roman"/>
          <w:sz w:val="26"/>
          <w:szCs w:val="26"/>
        </w:rPr>
        <w:t>Соединения микроэлементов в породах и, особенно в почвах отличаются удивительным разнообразием. Катионы металлов поступают в почвы при растворении пород и минералов, при минерализации растительных и животных остатков, но в почвенном растворе их доля невелика, поскольку почвенные коллоиды легко их поглощают, а гуминовые вещества связывают в комплексные соединения. Частично они переходят</w:t>
      </w:r>
      <w:r w:rsidR="0066793D">
        <w:rPr>
          <w:rFonts w:ascii="Times New Roman" w:hAnsi="Times New Roman" w:cs="Times New Roman"/>
          <w:sz w:val="26"/>
          <w:szCs w:val="26"/>
        </w:rPr>
        <w:t xml:space="preserve"> гидроксиды, карбонаты, фосфаты твердых фаз. Для других неметаллических элементов (</w:t>
      </w:r>
      <w:r w:rsidR="0066793D">
        <w:rPr>
          <w:rFonts w:ascii="Times New Roman" w:hAnsi="Times New Roman" w:cs="Times New Roman"/>
          <w:sz w:val="26"/>
          <w:szCs w:val="26"/>
          <w:lang w:val="en-US"/>
        </w:rPr>
        <w:t>B</w:t>
      </w:r>
      <w:r w:rsidR="0066793D" w:rsidRPr="0066793D">
        <w:rPr>
          <w:rFonts w:ascii="Times New Roman" w:hAnsi="Times New Roman" w:cs="Times New Roman"/>
          <w:sz w:val="26"/>
          <w:szCs w:val="26"/>
        </w:rPr>
        <w:t xml:space="preserve">, </w:t>
      </w:r>
      <w:r w:rsidR="0066793D">
        <w:rPr>
          <w:rFonts w:ascii="Times New Roman" w:hAnsi="Times New Roman" w:cs="Times New Roman"/>
          <w:sz w:val="26"/>
          <w:szCs w:val="26"/>
          <w:lang w:val="en-US"/>
        </w:rPr>
        <w:t>F</w:t>
      </w:r>
      <w:r w:rsidR="0066793D">
        <w:rPr>
          <w:rFonts w:ascii="Times New Roman" w:hAnsi="Times New Roman" w:cs="Times New Roman"/>
          <w:sz w:val="26"/>
          <w:szCs w:val="26"/>
        </w:rPr>
        <w:t>) могут быть характерны производные соответствующих кислот. Так, бор чаще всего представлен солями ортоборной кислоты Н</w:t>
      </w:r>
      <w:r w:rsidR="0066793D" w:rsidRPr="0066793D">
        <w:rPr>
          <w:rFonts w:ascii="Times New Roman" w:hAnsi="Times New Roman" w:cs="Times New Roman"/>
          <w:sz w:val="26"/>
          <w:szCs w:val="26"/>
          <w:vertAlign w:val="subscript"/>
        </w:rPr>
        <w:t>3</w:t>
      </w:r>
      <w:r w:rsidR="0066793D">
        <w:rPr>
          <w:rFonts w:ascii="Times New Roman" w:hAnsi="Times New Roman" w:cs="Times New Roman"/>
          <w:sz w:val="26"/>
          <w:szCs w:val="26"/>
        </w:rPr>
        <w:t>ВО</w:t>
      </w:r>
      <w:r w:rsidR="0066793D" w:rsidRPr="0066793D">
        <w:rPr>
          <w:rFonts w:ascii="Times New Roman" w:hAnsi="Times New Roman" w:cs="Times New Roman"/>
          <w:sz w:val="26"/>
          <w:szCs w:val="26"/>
          <w:vertAlign w:val="subscript"/>
        </w:rPr>
        <w:t>3</w:t>
      </w:r>
      <w:r w:rsidR="0066793D">
        <w:rPr>
          <w:rFonts w:ascii="Times New Roman" w:hAnsi="Times New Roman" w:cs="Times New Roman"/>
          <w:sz w:val="26"/>
          <w:szCs w:val="26"/>
        </w:rPr>
        <w:t xml:space="preserve"> – боратами.</w:t>
      </w:r>
    </w:p>
    <w:p w:rsidR="0066793D" w:rsidRDefault="0066793D" w:rsidP="003B40E8">
      <w:pPr>
        <w:ind w:firstLine="708"/>
        <w:jc w:val="both"/>
        <w:rPr>
          <w:rFonts w:ascii="Times New Roman" w:hAnsi="Times New Roman" w:cs="Times New Roman"/>
          <w:sz w:val="26"/>
          <w:szCs w:val="26"/>
        </w:rPr>
      </w:pPr>
      <w:r>
        <w:rPr>
          <w:rFonts w:ascii="Times New Roman" w:hAnsi="Times New Roman" w:cs="Times New Roman"/>
          <w:sz w:val="26"/>
          <w:szCs w:val="26"/>
        </w:rPr>
        <w:t>Особое место занимают соединения йода; его роль особенно велика, так как, с одной стороны, он влияет на состояние щитовидной железы, а с другой – радиоактивный йод – один из важнейших компонентов антропогенных выбросов радионуклидов, в том числе авариях. Все это свидетельствует о том, что основным компонентом почвы, связывающим йод, является органическое вещество. Когда йод только поступает в почву, он связывается с  водорастворимыми низкомолекулярными веществами, но постепенно растет его доля, входящая в соединения с гуминовыми веществами, то есть йод становится все более прочно связанным.</w:t>
      </w:r>
    </w:p>
    <w:p w:rsidR="0066793D" w:rsidRDefault="0066793D" w:rsidP="003B40E8">
      <w:pPr>
        <w:ind w:firstLine="708"/>
        <w:jc w:val="both"/>
        <w:rPr>
          <w:rFonts w:ascii="Times New Roman" w:hAnsi="Times New Roman" w:cs="Times New Roman"/>
          <w:sz w:val="26"/>
          <w:szCs w:val="26"/>
        </w:rPr>
      </w:pPr>
    </w:p>
    <w:p w:rsidR="0066793D" w:rsidRDefault="0066793D" w:rsidP="008F20AB">
      <w:pPr>
        <w:jc w:val="both"/>
        <w:rPr>
          <w:rFonts w:ascii="Times New Roman" w:hAnsi="Times New Roman" w:cs="Times New Roman"/>
          <w:sz w:val="26"/>
          <w:szCs w:val="26"/>
        </w:rPr>
      </w:pPr>
      <w:r>
        <w:rPr>
          <w:rFonts w:ascii="Times New Roman" w:hAnsi="Times New Roman" w:cs="Times New Roman"/>
          <w:sz w:val="26"/>
          <w:szCs w:val="26"/>
        </w:rPr>
        <w:lastRenderedPageBreak/>
        <w:t>Таблица 2 – Участие микроэлементов в важнейших почвенных процессах</w:t>
      </w:r>
    </w:p>
    <w:tbl>
      <w:tblPr>
        <w:tblStyle w:val="a3"/>
        <w:tblW w:w="0" w:type="auto"/>
        <w:tblLook w:val="04A0"/>
      </w:tblPr>
      <w:tblGrid>
        <w:gridCol w:w="3085"/>
        <w:gridCol w:w="4036"/>
        <w:gridCol w:w="3561"/>
      </w:tblGrid>
      <w:tr w:rsidR="008F20AB" w:rsidTr="008F20AB">
        <w:tc>
          <w:tcPr>
            <w:tcW w:w="3085" w:type="dxa"/>
          </w:tcPr>
          <w:p w:rsidR="008F20AB" w:rsidRPr="008F20AB" w:rsidRDefault="008F20AB" w:rsidP="008F20AB">
            <w:pPr>
              <w:jc w:val="center"/>
              <w:rPr>
                <w:rFonts w:ascii="Times New Roman" w:hAnsi="Times New Roman" w:cs="Times New Roman"/>
                <w:b/>
                <w:sz w:val="26"/>
                <w:szCs w:val="26"/>
              </w:rPr>
            </w:pPr>
            <w:r w:rsidRPr="008F20AB">
              <w:rPr>
                <w:rFonts w:ascii="Times New Roman" w:hAnsi="Times New Roman" w:cs="Times New Roman"/>
                <w:b/>
                <w:sz w:val="26"/>
                <w:szCs w:val="26"/>
              </w:rPr>
              <w:t>Процесс</w:t>
            </w:r>
          </w:p>
        </w:tc>
        <w:tc>
          <w:tcPr>
            <w:tcW w:w="4036" w:type="dxa"/>
          </w:tcPr>
          <w:p w:rsidR="008F20AB" w:rsidRPr="008F20AB" w:rsidRDefault="008F20AB" w:rsidP="008F20AB">
            <w:pPr>
              <w:jc w:val="center"/>
              <w:rPr>
                <w:rFonts w:ascii="Times New Roman" w:hAnsi="Times New Roman" w:cs="Times New Roman"/>
                <w:b/>
                <w:sz w:val="26"/>
                <w:szCs w:val="26"/>
              </w:rPr>
            </w:pPr>
            <w:r w:rsidRPr="008F20AB">
              <w:rPr>
                <w:rFonts w:ascii="Times New Roman" w:hAnsi="Times New Roman" w:cs="Times New Roman"/>
                <w:b/>
                <w:sz w:val="26"/>
                <w:szCs w:val="26"/>
              </w:rPr>
              <w:t>Почвы или почвенные образования</w:t>
            </w:r>
          </w:p>
        </w:tc>
        <w:tc>
          <w:tcPr>
            <w:tcW w:w="3561" w:type="dxa"/>
          </w:tcPr>
          <w:p w:rsidR="008F20AB" w:rsidRPr="008F20AB" w:rsidRDefault="008F20AB" w:rsidP="008F20AB">
            <w:pPr>
              <w:jc w:val="center"/>
              <w:rPr>
                <w:rFonts w:ascii="Times New Roman" w:hAnsi="Times New Roman" w:cs="Times New Roman"/>
                <w:b/>
                <w:sz w:val="26"/>
                <w:szCs w:val="26"/>
              </w:rPr>
            </w:pPr>
            <w:r w:rsidRPr="008F20AB">
              <w:rPr>
                <w:rFonts w:ascii="Times New Roman" w:hAnsi="Times New Roman" w:cs="Times New Roman"/>
                <w:b/>
                <w:sz w:val="26"/>
                <w:szCs w:val="26"/>
              </w:rPr>
              <w:t>Накапливающиеся микроэлементы</w:t>
            </w:r>
          </w:p>
        </w:tc>
      </w:tr>
      <w:tr w:rsidR="008F20AB" w:rsidRPr="008F20AB" w:rsidTr="008F20AB">
        <w:tc>
          <w:tcPr>
            <w:tcW w:w="3085"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Малый биологический круговорот</w:t>
            </w: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Растительный опад, свежий или частично разложившийся</w:t>
            </w:r>
          </w:p>
        </w:tc>
        <w:tc>
          <w:tcPr>
            <w:tcW w:w="3561" w:type="dxa"/>
          </w:tcPr>
          <w:p w:rsidR="008F20AB" w:rsidRPr="008F20AB" w:rsidRDefault="008F20AB"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Mo, Zn, Cu, Co, B, I, Br, Se, Ni, U, Ba, Mn, Sr, V</w:t>
            </w:r>
          </w:p>
        </w:tc>
      </w:tr>
      <w:tr w:rsidR="008F20AB" w:rsidRPr="008F20AB" w:rsidTr="008F20AB">
        <w:tc>
          <w:tcPr>
            <w:tcW w:w="3085"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Синтез гумуса</w:t>
            </w: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Гуминовые вещества</w:t>
            </w:r>
          </w:p>
        </w:tc>
        <w:tc>
          <w:tcPr>
            <w:tcW w:w="3561" w:type="dxa"/>
          </w:tcPr>
          <w:p w:rsidR="008F20AB" w:rsidRPr="008F20AB" w:rsidRDefault="008F20AB"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B, I, Mn, Cu, Co, Mo, Zn, Ni, Pb, Br, F</w:t>
            </w:r>
          </w:p>
        </w:tc>
      </w:tr>
      <w:tr w:rsidR="008F20AB" w:rsidRPr="008F20AB" w:rsidTr="008F20AB">
        <w:tc>
          <w:tcPr>
            <w:tcW w:w="3085"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Образование глин и синтез коллоидов</w:t>
            </w: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Высокодисперсная часть почвы</w:t>
            </w:r>
          </w:p>
        </w:tc>
        <w:tc>
          <w:tcPr>
            <w:tcW w:w="3561" w:type="dxa"/>
          </w:tcPr>
          <w:p w:rsidR="008F20AB" w:rsidRPr="008F20AB" w:rsidRDefault="008F20AB"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Mn, Fe, Cu, Co, V, Cr, Ni, Mo, Li, Rb, Cs, Ba, Sr, </w:t>
            </w:r>
            <w:r w:rsidR="00253B05">
              <w:rPr>
                <w:rFonts w:ascii="Times New Roman" w:hAnsi="Times New Roman" w:cs="Times New Roman"/>
                <w:sz w:val="26"/>
                <w:szCs w:val="26"/>
                <w:lang w:val="en-US"/>
              </w:rPr>
              <w:t>Pb, Zn, Mn, V, I, B</w:t>
            </w:r>
          </w:p>
        </w:tc>
      </w:tr>
      <w:tr w:rsidR="008F20AB" w:rsidRPr="00253B05" w:rsidTr="008F20AB">
        <w:tc>
          <w:tcPr>
            <w:tcW w:w="3085"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Иллювиирование</w:t>
            </w: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Иллювиальные горизонты</w:t>
            </w:r>
          </w:p>
        </w:tc>
        <w:tc>
          <w:tcPr>
            <w:tcW w:w="3561" w:type="dxa"/>
          </w:tcPr>
          <w:p w:rsidR="008F20AB" w:rsidRPr="00253B05" w:rsidRDefault="00253B05"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Cu, Ni, Co, V, Cr, Zn, Mo, B </w:t>
            </w:r>
          </w:p>
        </w:tc>
      </w:tr>
      <w:tr w:rsidR="008F20AB" w:rsidTr="008F20AB">
        <w:tc>
          <w:tcPr>
            <w:tcW w:w="3085"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Оглеение</w:t>
            </w: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Глеевый горизонт</w:t>
            </w:r>
          </w:p>
        </w:tc>
        <w:tc>
          <w:tcPr>
            <w:tcW w:w="3561" w:type="dxa"/>
          </w:tcPr>
          <w:p w:rsidR="008F20AB" w:rsidRPr="00253B05" w:rsidRDefault="00253B05"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Mn, Cu, Co, V</w:t>
            </w:r>
          </w:p>
        </w:tc>
      </w:tr>
      <w:tr w:rsidR="008F20AB" w:rsidRPr="00253B05" w:rsidTr="008F20AB">
        <w:trPr>
          <w:trHeight w:val="150"/>
        </w:trPr>
        <w:tc>
          <w:tcPr>
            <w:tcW w:w="3085" w:type="dxa"/>
            <w:vMerge w:val="restart"/>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Гидрогенная аккумуляция</w:t>
            </w: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Северные луговые почвы</w:t>
            </w:r>
          </w:p>
        </w:tc>
        <w:tc>
          <w:tcPr>
            <w:tcW w:w="3561" w:type="dxa"/>
          </w:tcPr>
          <w:p w:rsidR="008F20AB" w:rsidRPr="00253B05" w:rsidRDefault="00253B05"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Mn, Cu, Ni, V, Co, B</w:t>
            </w:r>
          </w:p>
        </w:tc>
      </w:tr>
      <w:tr w:rsidR="008F20AB" w:rsidTr="008F20AB">
        <w:trPr>
          <w:trHeight w:val="150"/>
        </w:trPr>
        <w:tc>
          <w:tcPr>
            <w:tcW w:w="3085" w:type="dxa"/>
            <w:vMerge/>
          </w:tcPr>
          <w:p w:rsidR="008F20AB" w:rsidRPr="00253B05" w:rsidRDefault="008F20AB" w:rsidP="008F20AB">
            <w:pPr>
              <w:jc w:val="both"/>
              <w:rPr>
                <w:rFonts w:ascii="Times New Roman" w:hAnsi="Times New Roman" w:cs="Times New Roman"/>
                <w:sz w:val="26"/>
                <w:szCs w:val="26"/>
                <w:lang w:val="en-US"/>
              </w:rPr>
            </w:pP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Южные луговые почвы</w:t>
            </w:r>
          </w:p>
        </w:tc>
        <w:tc>
          <w:tcPr>
            <w:tcW w:w="3561" w:type="dxa"/>
          </w:tcPr>
          <w:p w:rsidR="008F20AB" w:rsidRPr="00253B05" w:rsidRDefault="00253B05"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Ba, Sr, B</w:t>
            </w:r>
          </w:p>
        </w:tc>
      </w:tr>
      <w:tr w:rsidR="008F20AB" w:rsidRPr="00253B05" w:rsidTr="008F20AB">
        <w:trPr>
          <w:trHeight w:val="150"/>
        </w:trPr>
        <w:tc>
          <w:tcPr>
            <w:tcW w:w="3085" w:type="dxa"/>
            <w:vMerge/>
          </w:tcPr>
          <w:p w:rsidR="008F20AB" w:rsidRDefault="008F20AB" w:rsidP="008F20AB">
            <w:pPr>
              <w:jc w:val="both"/>
              <w:rPr>
                <w:rFonts w:ascii="Times New Roman" w:hAnsi="Times New Roman" w:cs="Times New Roman"/>
                <w:sz w:val="26"/>
                <w:szCs w:val="26"/>
              </w:rPr>
            </w:pP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Солончаки</w:t>
            </w:r>
          </w:p>
        </w:tc>
        <w:tc>
          <w:tcPr>
            <w:tcW w:w="3561" w:type="dxa"/>
          </w:tcPr>
          <w:p w:rsidR="008F20AB" w:rsidRPr="00253B05" w:rsidRDefault="00253B05"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B, I, F, Li, Rb, Cs, Zn, Ca, Co</w:t>
            </w:r>
          </w:p>
        </w:tc>
      </w:tr>
      <w:tr w:rsidR="008F20AB" w:rsidRPr="00253B05" w:rsidTr="008F20AB">
        <w:trPr>
          <w:trHeight w:val="150"/>
        </w:trPr>
        <w:tc>
          <w:tcPr>
            <w:tcW w:w="3085" w:type="dxa"/>
            <w:vMerge/>
          </w:tcPr>
          <w:p w:rsidR="008F20AB" w:rsidRPr="00253B05" w:rsidRDefault="008F20AB" w:rsidP="008F20AB">
            <w:pPr>
              <w:jc w:val="both"/>
              <w:rPr>
                <w:rFonts w:ascii="Times New Roman" w:hAnsi="Times New Roman" w:cs="Times New Roman"/>
                <w:sz w:val="26"/>
                <w:szCs w:val="26"/>
                <w:lang w:val="en-US"/>
              </w:rPr>
            </w:pPr>
          </w:p>
        </w:tc>
        <w:tc>
          <w:tcPr>
            <w:tcW w:w="4036" w:type="dxa"/>
          </w:tcPr>
          <w:p w:rsidR="008F20AB" w:rsidRDefault="008F20AB" w:rsidP="008F20AB">
            <w:pPr>
              <w:jc w:val="both"/>
              <w:rPr>
                <w:rFonts w:ascii="Times New Roman" w:hAnsi="Times New Roman" w:cs="Times New Roman"/>
                <w:sz w:val="26"/>
                <w:szCs w:val="26"/>
              </w:rPr>
            </w:pPr>
            <w:r>
              <w:rPr>
                <w:rFonts w:ascii="Times New Roman" w:hAnsi="Times New Roman" w:cs="Times New Roman"/>
                <w:sz w:val="26"/>
                <w:szCs w:val="26"/>
              </w:rPr>
              <w:t>Тропические латериты</w:t>
            </w:r>
          </w:p>
        </w:tc>
        <w:tc>
          <w:tcPr>
            <w:tcW w:w="3561" w:type="dxa"/>
          </w:tcPr>
          <w:p w:rsidR="008F20AB" w:rsidRPr="00253B05" w:rsidRDefault="00253B05" w:rsidP="008F20AB">
            <w:pPr>
              <w:jc w:val="both"/>
              <w:rPr>
                <w:rFonts w:ascii="Times New Roman" w:hAnsi="Times New Roman" w:cs="Times New Roman"/>
                <w:sz w:val="26"/>
                <w:szCs w:val="26"/>
                <w:lang w:val="en-US"/>
              </w:rPr>
            </w:pPr>
            <w:r>
              <w:rPr>
                <w:rFonts w:ascii="Times New Roman" w:hAnsi="Times New Roman" w:cs="Times New Roman"/>
                <w:sz w:val="26"/>
                <w:szCs w:val="26"/>
                <w:lang w:val="en-US"/>
              </w:rPr>
              <w:t>Ti, V, Cr, Co, Ni, Cu</w:t>
            </w:r>
          </w:p>
        </w:tc>
      </w:tr>
    </w:tbl>
    <w:p w:rsidR="008F20AB" w:rsidRDefault="008F20AB" w:rsidP="008F20AB">
      <w:pPr>
        <w:jc w:val="both"/>
        <w:rPr>
          <w:rFonts w:ascii="Times New Roman" w:hAnsi="Times New Roman" w:cs="Times New Roman"/>
          <w:sz w:val="26"/>
          <w:szCs w:val="26"/>
          <w:lang w:val="en-US"/>
        </w:rPr>
      </w:pPr>
    </w:p>
    <w:p w:rsidR="00253B05" w:rsidRDefault="00253B05" w:rsidP="008F20AB">
      <w:pPr>
        <w:jc w:val="both"/>
        <w:rPr>
          <w:rFonts w:ascii="Times New Roman" w:hAnsi="Times New Roman" w:cs="Times New Roman"/>
          <w:sz w:val="26"/>
          <w:szCs w:val="26"/>
        </w:rPr>
      </w:pPr>
      <w:r>
        <w:rPr>
          <w:rFonts w:ascii="Times New Roman" w:hAnsi="Times New Roman" w:cs="Times New Roman"/>
          <w:sz w:val="26"/>
          <w:szCs w:val="26"/>
        </w:rPr>
        <w:tab/>
      </w:r>
      <w:r w:rsidRPr="00253B05">
        <w:rPr>
          <w:rFonts w:ascii="Times New Roman" w:hAnsi="Times New Roman" w:cs="Times New Roman"/>
          <w:i/>
          <w:sz w:val="26"/>
          <w:szCs w:val="26"/>
        </w:rPr>
        <w:t>Несмотря на довольно длительную историю изучения проблемы микроэлементов в биосфере, современное состояние знаний приходится характеризовать как поверхностное прикосновение к этой проблеме.</w:t>
      </w:r>
      <w:r>
        <w:rPr>
          <w:rFonts w:ascii="Times New Roman" w:hAnsi="Times New Roman" w:cs="Times New Roman"/>
          <w:sz w:val="26"/>
          <w:szCs w:val="26"/>
        </w:rPr>
        <w:t xml:space="preserve"> Накоплено много фактических данных по уровням содержания микроэлементов в различных компонентах биосферы, по реакции живых организмов на их недостаток или избыток, разработаны специальные методы анализа малых количеств элементов, составлены ка</w:t>
      </w:r>
      <w:r w:rsidR="00482FF6">
        <w:rPr>
          <w:rFonts w:ascii="Times New Roman" w:hAnsi="Times New Roman" w:cs="Times New Roman"/>
          <w:sz w:val="26"/>
          <w:szCs w:val="26"/>
        </w:rPr>
        <w:t>рты биогеохимического районирова</w:t>
      </w:r>
      <w:r>
        <w:rPr>
          <w:rFonts w:ascii="Times New Roman" w:hAnsi="Times New Roman" w:cs="Times New Roman"/>
          <w:sz w:val="26"/>
          <w:szCs w:val="26"/>
        </w:rPr>
        <w:t>ния и биогеохимических провинций</w:t>
      </w:r>
      <w:r w:rsidR="00482FF6">
        <w:rPr>
          <w:rFonts w:ascii="Times New Roman" w:hAnsi="Times New Roman" w:cs="Times New Roman"/>
          <w:sz w:val="26"/>
          <w:szCs w:val="26"/>
        </w:rPr>
        <w:t>. Несмотря на это, общей теории, рассматривающей функции, механизмы воздействия и роль микроэлементов в биосфере, пока нет. Можно только утверждать, что микроэлементы необходимы всем без исключения живым организмам, что последние резко реагируют на недостаток, избыток или неблагоприятное соотношение микроэлементов. Найдены некоторые эмпирические приемы регулирования жизненных процессов, если они осложнены несбалансированностью микроэлементного питания.</w:t>
      </w:r>
    </w:p>
    <w:p w:rsidR="00482FF6" w:rsidRPr="006D6E87" w:rsidRDefault="00482FF6" w:rsidP="008F20AB">
      <w:pPr>
        <w:jc w:val="both"/>
        <w:rPr>
          <w:rFonts w:ascii="Times New Roman" w:hAnsi="Times New Roman" w:cs="Times New Roman"/>
          <w:i/>
          <w:sz w:val="26"/>
          <w:szCs w:val="26"/>
        </w:rPr>
      </w:pPr>
      <w:r>
        <w:rPr>
          <w:rFonts w:ascii="Times New Roman" w:hAnsi="Times New Roman" w:cs="Times New Roman"/>
          <w:sz w:val="26"/>
          <w:szCs w:val="26"/>
        </w:rPr>
        <w:tab/>
      </w:r>
      <w:r w:rsidRPr="006D6E87">
        <w:rPr>
          <w:rFonts w:ascii="Times New Roman" w:hAnsi="Times New Roman" w:cs="Times New Roman"/>
          <w:i/>
          <w:sz w:val="26"/>
          <w:szCs w:val="26"/>
        </w:rPr>
        <w:t>Но значительно больше остается нерешенных вопросов, которые охватывают как крупные теоретические проблемы, имеющие г</w:t>
      </w:r>
      <w:r w:rsidR="006D6E87" w:rsidRPr="006D6E87">
        <w:rPr>
          <w:rFonts w:ascii="Times New Roman" w:hAnsi="Times New Roman" w:cs="Times New Roman"/>
          <w:i/>
          <w:sz w:val="26"/>
          <w:szCs w:val="26"/>
        </w:rPr>
        <w:t>лобальное значение, так и конкр</w:t>
      </w:r>
      <w:r w:rsidRPr="006D6E87">
        <w:rPr>
          <w:rFonts w:ascii="Times New Roman" w:hAnsi="Times New Roman" w:cs="Times New Roman"/>
          <w:i/>
          <w:sz w:val="26"/>
          <w:szCs w:val="26"/>
        </w:rPr>
        <w:t>етны</w:t>
      </w:r>
      <w:r w:rsidR="006D6E87" w:rsidRPr="006D6E87">
        <w:rPr>
          <w:rFonts w:ascii="Times New Roman" w:hAnsi="Times New Roman" w:cs="Times New Roman"/>
          <w:i/>
          <w:sz w:val="26"/>
          <w:szCs w:val="26"/>
        </w:rPr>
        <w:t>е, часто прикладные задачи, понимание которых необходимо для экологической оптимизации природной среды.</w:t>
      </w:r>
    </w:p>
    <w:p w:rsidR="006D6E87" w:rsidRPr="006D6E87" w:rsidRDefault="006D6E87" w:rsidP="008F20AB">
      <w:pPr>
        <w:jc w:val="both"/>
        <w:rPr>
          <w:rFonts w:ascii="Times New Roman" w:hAnsi="Times New Roman" w:cs="Times New Roman"/>
          <w:b/>
          <w:sz w:val="26"/>
          <w:szCs w:val="26"/>
        </w:rPr>
      </w:pPr>
      <w:r w:rsidRPr="006D6E87">
        <w:rPr>
          <w:rFonts w:ascii="Times New Roman" w:hAnsi="Times New Roman" w:cs="Times New Roman"/>
          <w:b/>
          <w:sz w:val="26"/>
          <w:szCs w:val="26"/>
        </w:rPr>
        <w:t>Источник: Степуро М.Ф. и др. Ресурсосберегающая система удобрения овощных культур /М.Ф. Степуро, А.А. Аутко, В.А. Крапивка – Минск, 2010. - 208с., ил.</w:t>
      </w:r>
    </w:p>
    <w:sectPr w:rsidR="006D6E87" w:rsidRPr="006D6E87" w:rsidSect="00BB38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B3842"/>
    <w:rsid w:val="000E78CE"/>
    <w:rsid w:val="00253B05"/>
    <w:rsid w:val="00294B90"/>
    <w:rsid w:val="003B40E8"/>
    <w:rsid w:val="004614E5"/>
    <w:rsid w:val="00482FF6"/>
    <w:rsid w:val="005E66B2"/>
    <w:rsid w:val="0062706C"/>
    <w:rsid w:val="0066793D"/>
    <w:rsid w:val="006A36B9"/>
    <w:rsid w:val="006B39E4"/>
    <w:rsid w:val="006D6E87"/>
    <w:rsid w:val="00740B7D"/>
    <w:rsid w:val="007B6D56"/>
    <w:rsid w:val="007C3574"/>
    <w:rsid w:val="00835C9F"/>
    <w:rsid w:val="008F20AB"/>
    <w:rsid w:val="00B22265"/>
    <w:rsid w:val="00BB3842"/>
    <w:rsid w:val="00D92B84"/>
    <w:rsid w:val="00F96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39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57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4</Pages>
  <Words>1497</Words>
  <Characters>8534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Genia U</dc:creator>
  <cp:keywords/>
  <dc:description/>
  <cp:lastModifiedBy>Genia U</cp:lastModifiedBy>
  <cp:revision>4</cp:revision>
  <dcterms:created xsi:type="dcterms:W3CDTF">2012-01-16T08:12:00Z</dcterms:created>
  <dcterms:modified xsi:type="dcterms:W3CDTF">2012-01-16T13:33:00Z</dcterms:modified>
</cp:coreProperties>
</file>