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5CC" w:rsidRDefault="005679FF" w:rsidP="005679FF">
      <w:pPr>
        <w:jc w:val="center"/>
        <w:rPr>
          <w:rFonts w:ascii="Times New Roman" w:hAnsi="Times New Roman" w:cs="Times New Roman"/>
          <w:sz w:val="26"/>
          <w:szCs w:val="26"/>
        </w:rPr>
      </w:pPr>
      <w:r w:rsidRPr="005679FF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 w:rsidR="000004F6">
        <w:rPr>
          <w:rFonts w:ascii="Times New Roman" w:hAnsi="Times New Roman" w:cs="Times New Roman"/>
          <w:sz w:val="26"/>
          <w:szCs w:val="26"/>
        </w:rPr>
        <w:t xml:space="preserve">МАКРО- И </w:t>
      </w:r>
      <w:r w:rsidR="00F5108D">
        <w:rPr>
          <w:rFonts w:ascii="Times New Roman" w:hAnsi="Times New Roman" w:cs="Times New Roman"/>
          <w:sz w:val="26"/>
          <w:szCs w:val="26"/>
        </w:rPr>
        <w:t>МИКРОЭЛЕМЕНТОВ В РАСТЕНИЯХ. АНТА</w:t>
      </w:r>
      <w:r w:rsidRPr="005679FF">
        <w:rPr>
          <w:rFonts w:ascii="Times New Roman" w:hAnsi="Times New Roman" w:cs="Times New Roman"/>
          <w:sz w:val="26"/>
          <w:szCs w:val="26"/>
        </w:rPr>
        <w:t>ГОНИЗМ И СИНЕРГИЗМ</w:t>
      </w:r>
    </w:p>
    <w:p w:rsidR="005679FF" w:rsidRDefault="005679FF" w:rsidP="005679FF">
      <w:pPr>
        <w:jc w:val="both"/>
        <w:rPr>
          <w:rFonts w:ascii="Times New Roman" w:hAnsi="Times New Roman" w:cs="Times New Roman"/>
          <w:sz w:val="26"/>
          <w:szCs w:val="26"/>
        </w:rPr>
      </w:pPr>
      <w:r w:rsidRPr="005679FF">
        <w:rPr>
          <w:rFonts w:ascii="Times New Roman" w:hAnsi="Times New Roman" w:cs="Times New Roman"/>
          <w:sz w:val="26"/>
          <w:szCs w:val="26"/>
        </w:rPr>
        <w:t>Сбалансированность химического состава живых организмов - осн</w:t>
      </w:r>
      <w:r>
        <w:rPr>
          <w:rFonts w:ascii="Times New Roman" w:hAnsi="Times New Roman" w:cs="Times New Roman"/>
          <w:sz w:val="26"/>
          <w:szCs w:val="26"/>
        </w:rPr>
        <w:t xml:space="preserve">овное условие их нормального  </w:t>
      </w:r>
      <w:r w:rsidRPr="005679FF">
        <w:rPr>
          <w:rFonts w:ascii="Times New Roman" w:hAnsi="Times New Roman" w:cs="Times New Roman"/>
          <w:sz w:val="26"/>
          <w:szCs w:val="26"/>
        </w:rPr>
        <w:t>роста и развития. Взаимодействие химических элементов имеет так</w:t>
      </w:r>
      <w:r>
        <w:rPr>
          <w:rFonts w:ascii="Times New Roman" w:hAnsi="Times New Roman" w:cs="Times New Roman"/>
          <w:sz w:val="26"/>
          <w:szCs w:val="26"/>
        </w:rPr>
        <w:t xml:space="preserve">ое же значение для физиологии  </w:t>
      </w:r>
      <w:r w:rsidRPr="005679FF">
        <w:rPr>
          <w:rFonts w:ascii="Times New Roman" w:hAnsi="Times New Roman" w:cs="Times New Roman"/>
          <w:sz w:val="26"/>
          <w:szCs w:val="26"/>
        </w:rPr>
        <w:t>растений,   как   явления   дефицита   и   токсичности.   Взаимодействие   ме</w:t>
      </w:r>
      <w:r>
        <w:rPr>
          <w:rFonts w:ascii="Times New Roman" w:hAnsi="Times New Roman" w:cs="Times New Roman"/>
          <w:sz w:val="26"/>
          <w:szCs w:val="26"/>
        </w:rPr>
        <w:t xml:space="preserve">жду  химическими   элементами  </w:t>
      </w:r>
      <w:r w:rsidRPr="005679FF">
        <w:rPr>
          <w:rFonts w:ascii="Times New Roman" w:hAnsi="Times New Roman" w:cs="Times New Roman"/>
          <w:sz w:val="26"/>
          <w:szCs w:val="26"/>
        </w:rPr>
        <w:t>может быть антагонистическим или синергическим, и его несбалансир</w:t>
      </w:r>
      <w:r>
        <w:rPr>
          <w:rFonts w:ascii="Times New Roman" w:hAnsi="Times New Roman" w:cs="Times New Roman"/>
          <w:sz w:val="26"/>
          <w:szCs w:val="26"/>
        </w:rPr>
        <w:t xml:space="preserve">ованные реакции могут служить  </w:t>
      </w:r>
      <w:r w:rsidRPr="005679FF">
        <w:rPr>
          <w:rFonts w:ascii="Times New Roman" w:hAnsi="Times New Roman" w:cs="Times New Roman"/>
          <w:sz w:val="26"/>
          <w:szCs w:val="26"/>
        </w:rPr>
        <w:t>причиной х</w:t>
      </w:r>
      <w:r>
        <w:rPr>
          <w:rFonts w:ascii="Times New Roman" w:hAnsi="Times New Roman" w:cs="Times New Roman"/>
          <w:sz w:val="26"/>
          <w:szCs w:val="26"/>
        </w:rPr>
        <w:t xml:space="preserve">имических стрессов у растений. </w:t>
      </w:r>
    </w:p>
    <w:p w:rsidR="005679FF" w:rsidRDefault="005679FF" w:rsidP="005679FF">
      <w:pPr>
        <w:jc w:val="both"/>
        <w:rPr>
          <w:rFonts w:ascii="Times New Roman" w:hAnsi="Times New Roman" w:cs="Times New Roman"/>
          <w:sz w:val="26"/>
          <w:szCs w:val="26"/>
        </w:rPr>
      </w:pPr>
      <w:r w:rsidRPr="005679FF">
        <w:rPr>
          <w:rFonts w:ascii="Times New Roman" w:hAnsi="Times New Roman" w:cs="Times New Roman"/>
          <w:sz w:val="26"/>
          <w:szCs w:val="26"/>
        </w:rPr>
        <w:t>Антагонизм возникает, когда совместное физиологическое действ</w:t>
      </w:r>
      <w:r>
        <w:rPr>
          <w:rFonts w:ascii="Times New Roman" w:hAnsi="Times New Roman" w:cs="Times New Roman"/>
          <w:sz w:val="26"/>
          <w:szCs w:val="26"/>
        </w:rPr>
        <w:t xml:space="preserve">ие одного или более элементов  </w:t>
      </w:r>
      <w:r w:rsidRPr="005679FF">
        <w:rPr>
          <w:rFonts w:ascii="Times New Roman" w:hAnsi="Times New Roman" w:cs="Times New Roman"/>
          <w:sz w:val="26"/>
          <w:szCs w:val="26"/>
        </w:rPr>
        <w:t>меньше суммы действия элементов, взятых по отдельности, а синергиз</w:t>
      </w:r>
      <w:r>
        <w:rPr>
          <w:rFonts w:ascii="Times New Roman" w:hAnsi="Times New Roman" w:cs="Times New Roman"/>
          <w:sz w:val="26"/>
          <w:szCs w:val="26"/>
        </w:rPr>
        <w:t xml:space="preserve">м - когда совместное действие  </w:t>
      </w:r>
      <w:r w:rsidRPr="005679FF">
        <w:rPr>
          <w:rFonts w:ascii="Times New Roman" w:hAnsi="Times New Roman" w:cs="Times New Roman"/>
          <w:sz w:val="26"/>
          <w:szCs w:val="26"/>
        </w:rPr>
        <w:t>больше. Такие взаимодействия можно связать со способностью одно</w:t>
      </w:r>
      <w:r>
        <w:rPr>
          <w:rFonts w:ascii="Times New Roman" w:hAnsi="Times New Roman" w:cs="Times New Roman"/>
          <w:sz w:val="26"/>
          <w:szCs w:val="26"/>
        </w:rPr>
        <w:t xml:space="preserve">го элемента ингибировать или  </w:t>
      </w:r>
      <w:r w:rsidRPr="005679FF">
        <w:rPr>
          <w:rFonts w:ascii="Times New Roman" w:hAnsi="Times New Roman" w:cs="Times New Roman"/>
          <w:sz w:val="26"/>
          <w:szCs w:val="26"/>
        </w:rPr>
        <w:t>стимулировать   поглощение   других   элем</w:t>
      </w:r>
      <w:r>
        <w:rPr>
          <w:rFonts w:ascii="Times New Roman" w:hAnsi="Times New Roman" w:cs="Times New Roman"/>
          <w:sz w:val="26"/>
          <w:szCs w:val="26"/>
        </w:rPr>
        <w:t>ентов   растениями</w:t>
      </w:r>
      <w:r w:rsidRPr="005679FF">
        <w:rPr>
          <w:rFonts w:ascii="Times New Roman" w:hAnsi="Times New Roman" w:cs="Times New Roman"/>
          <w:sz w:val="26"/>
          <w:szCs w:val="26"/>
        </w:rPr>
        <w:t xml:space="preserve">.  </w:t>
      </w:r>
      <w:r>
        <w:rPr>
          <w:rFonts w:ascii="Times New Roman" w:hAnsi="Times New Roman" w:cs="Times New Roman"/>
          <w:sz w:val="26"/>
          <w:szCs w:val="26"/>
        </w:rPr>
        <w:t xml:space="preserve"> Все   эти   реакции   весьма  </w:t>
      </w:r>
      <w:r w:rsidRPr="005679FF">
        <w:rPr>
          <w:rFonts w:ascii="Times New Roman" w:hAnsi="Times New Roman" w:cs="Times New Roman"/>
          <w:sz w:val="26"/>
          <w:szCs w:val="26"/>
        </w:rPr>
        <w:t>переменчивы.   Они   могут   происходить   внутри   клеток,   на   поверхности   мембран,   а   также   в   среде,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5679FF">
        <w:rPr>
          <w:rFonts w:ascii="Times New Roman" w:hAnsi="Times New Roman" w:cs="Times New Roman"/>
          <w:sz w:val="26"/>
          <w:szCs w:val="26"/>
        </w:rPr>
        <w:t>окружающей корни растений. Процессы взаимодействия контролир</w:t>
      </w:r>
      <w:r>
        <w:rPr>
          <w:rFonts w:ascii="Times New Roman" w:hAnsi="Times New Roman" w:cs="Times New Roman"/>
          <w:sz w:val="26"/>
          <w:szCs w:val="26"/>
        </w:rPr>
        <w:t xml:space="preserve">уются многими факторами, и их  </w:t>
      </w:r>
      <w:r w:rsidRPr="005679FF">
        <w:rPr>
          <w:rFonts w:ascii="Times New Roman" w:hAnsi="Times New Roman" w:cs="Times New Roman"/>
          <w:sz w:val="26"/>
          <w:szCs w:val="26"/>
        </w:rPr>
        <w:t>механизмы еще плохо изучены, хотя некоторые данные в</w:t>
      </w:r>
      <w:r>
        <w:rPr>
          <w:rFonts w:ascii="Times New Roman" w:hAnsi="Times New Roman" w:cs="Times New Roman"/>
          <w:sz w:val="26"/>
          <w:szCs w:val="26"/>
        </w:rPr>
        <w:t xml:space="preserve">се же имеются. </w:t>
      </w:r>
    </w:p>
    <w:p w:rsidR="005679FF" w:rsidRDefault="005679FF" w:rsidP="005679FF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5679FF">
        <w:rPr>
          <w:rFonts w:ascii="Times New Roman" w:hAnsi="Times New Roman" w:cs="Times New Roman"/>
          <w:sz w:val="26"/>
          <w:szCs w:val="26"/>
        </w:rPr>
        <w:t>Взаимодействия между макро- и микр</w:t>
      </w:r>
      <w:r>
        <w:rPr>
          <w:rFonts w:ascii="Times New Roman" w:hAnsi="Times New Roman" w:cs="Times New Roman"/>
          <w:sz w:val="26"/>
          <w:szCs w:val="26"/>
        </w:rPr>
        <w:t xml:space="preserve">оэлементами, сведенные в табл. </w:t>
      </w:r>
      <w:r w:rsidRPr="005679FF">
        <w:rPr>
          <w:rFonts w:ascii="Times New Roman" w:hAnsi="Times New Roman" w:cs="Times New Roman"/>
          <w:sz w:val="26"/>
          <w:szCs w:val="26"/>
        </w:rPr>
        <w:t xml:space="preserve">1, </w:t>
      </w:r>
      <w:r>
        <w:rPr>
          <w:rFonts w:ascii="Times New Roman" w:hAnsi="Times New Roman" w:cs="Times New Roman"/>
          <w:sz w:val="26"/>
          <w:szCs w:val="26"/>
        </w:rPr>
        <w:t xml:space="preserve">ясно показывают, что Са,  </w:t>
      </w:r>
      <w:r w:rsidRPr="005679FF">
        <w:rPr>
          <w:rFonts w:ascii="Times New Roman" w:hAnsi="Times New Roman" w:cs="Times New Roman"/>
          <w:sz w:val="26"/>
          <w:szCs w:val="26"/>
        </w:rPr>
        <w:t>Р   и  Mg  -   главные   антагонистические   элементы   в   отношении   поглощен</w:t>
      </w:r>
      <w:r>
        <w:rPr>
          <w:rFonts w:ascii="Times New Roman" w:hAnsi="Times New Roman" w:cs="Times New Roman"/>
          <w:sz w:val="26"/>
          <w:szCs w:val="26"/>
        </w:rPr>
        <w:t xml:space="preserve">ия   и   метаболизма   многих  </w:t>
      </w:r>
      <w:r w:rsidRPr="005679FF">
        <w:rPr>
          <w:rFonts w:ascii="Times New Roman" w:hAnsi="Times New Roman" w:cs="Times New Roman"/>
          <w:sz w:val="26"/>
          <w:szCs w:val="26"/>
        </w:rPr>
        <w:t xml:space="preserve">микроэлементов. </w:t>
      </w:r>
      <w:r w:rsidRPr="005679FF">
        <w:rPr>
          <w:rFonts w:ascii="Times New Roman" w:hAnsi="Times New Roman" w:cs="Times New Roman"/>
          <w:i/>
          <w:sz w:val="26"/>
          <w:szCs w:val="26"/>
        </w:rPr>
        <w:t xml:space="preserve">Однако и для антагонистических пар элементов наблюдались иногда синергические  эффекты, что связано, вероятно, со специфическими реакциями у отдельных генотипов или видов  растений. </w:t>
      </w:r>
    </w:p>
    <w:p w:rsidR="00810628" w:rsidRDefault="00810628" w:rsidP="005679F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1. Взаимодействие между макро- и микроэлементами в растениях</w:t>
      </w:r>
    </w:p>
    <w:tbl>
      <w:tblPr>
        <w:tblStyle w:val="a3"/>
        <w:tblW w:w="0" w:type="auto"/>
        <w:tblLook w:val="04A0"/>
      </w:tblPr>
      <w:tblGrid>
        <w:gridCol w:w="1839"/>
        <w:gridCol w:w="6383"/>
        <w:gridCol w:w="2460"/>
      </w:tblGrid>
      <w:tr w:rsidR="00F5108D" w:rsidTr="00F5108D">
        <w:tc>
          <w:tcPr>
            <w:tcW w:w="1668" w:type="dxa"/>
          </w:tcPr>
          <w:p w:rsidR="00F5108D" w:rsidRDefault="00F5108D" w:rsidP="00F510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Макроэлемент</w:t>
            </w:r>
          </w:p>
        </w:tc>
        <w:tc>
          <w:tcPr>
            <w:tcW w:w="6520" w:type="dxa"/>
          </w:tcPr>
          <w:p w:rsidR="00F5108D" w:rsidRDefault="00F5108D" w:rsidP="00F510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Антагонизм с микроэлементами</w:t>
            </w:r>
          </w:p>
        </w:tc>
        <w:tc>
          <w:tcPr>
            <w:tcW w:w="2494" w:type="dxa"/>
          </w:tcPr>
          <w:p w:rsidR="00F5108D" w:rsidRDefault="00F5108D" w:rsidP="00F510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Синергизм</w:t>
            </w:r>
          </w:p>
        </w:tc>
      </w:tr>
      <w:tr w:rsidR="00F5108D" w:rsidRPr="00F5108D" w:rsidTr="00F5108D">
        <w:tc>
          <w:tcPr>
            <w:tcW w:w="1668" w:type="dxa"/>
          </w:tcPr>
          <w:p w:rsidR="00F5108D" w:rsidRPr="00F5108D" w:rsidRDefault="00F5108D" w:rsidP="00F510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</w:t>
            </w:r>
          </w:p>
        </w:tc>
        <w:tc>
          <w:tcPr>
            <w:tcW w:w="6520" w:type="dxa"/>
          </w:tcPr>
          <w:p w:rsidR="00F5108D" w:rsidRPr="00F5108D" w:rsidRDefault="00F5108D" w:rsidP="005679F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</w:t>
            </w:r>
            <w:r w:rsidRPr="00F510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  <w:r w:rsidRPr="00F510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Be</w:t>
            </w:r>
            <w:r w:rsidRPr="00F510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Cd</w:t>
            </w:r>
            <w:r w:rsidRPr="00F510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</w:t>
            </w:r>
            <w:r w:rsidRPr="00F510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Cr</w:t>
            </w:r>
            <w:r w:rsidRPr="00F510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Cs, Ca, F, Fe, Li, Mn, Ni, Pb, Sr, Zn</w:t>
            </w:r>
            <w:r w:rsidRPr="00F510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494" w:type="dxa"/>
          </w:tcPr>
          <w:p w:rsidR="00F5108D" w:rsidRPr="00F5108D" w:rsidRDefault="00F5108D" w:rsidP="005679F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Cu, Mn, Zn</w:t>
            </w:r>
          </w:p>
        </w:tc>
      </w:tr>
      <w:tr w:rsidR="00F5108D" w:rsidRPr="00F5108D" w:rsidTr="00F5108D">
        <w:tc>
          <w:tcPr>
            <w:tcW w:w="1668" w:type="dxa"/>
          </w:tcPr>
          <w:p w:rsidR="00F5108D" w:rsidRPr="00F5108D" w:rsidRDefault="00F5108D" w:rsidP="00F510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Mg</w:t>
            </w:r>
          </w:p>
        </w:tc>
        <w:tc>
          <w:tcPr>
            <w:tcW w:w="6520" w:type="dxa"/>
          </w:tcPr>
          <w:p w:rsidR="00F5108D" w:rsidRPr="00F5108D" w:rsidRDefault="00F5108D" w:rsidP="005679F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Al, Be, Ba, Cr, Mn, F, Zn, N, Co, Cu, Fe</w:t>
            </w:r>
          </w:p>
        </w:tc>
        <w:tc>
          <w:tcPr>
            <w:tcW w:w="2494" w:type="dxa"/>
          </w:tcPr>
          <w:p w:rsidR="00F5108D" w:rsidRPr="00F5108D" w:rsidRDefault="00F5108D" w:rsidP="005679F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Al, Zn</w:t>
            </w:r>
          </w:p>
        </w:tc>
      </w:tr>
      <w:tr w:rsidR="00F5108D" w:rsidRPr="00F5108D" w:rsidTr="00F5108D">
        <w:tc>
          <w:tcPr>
            <w:tcW w:w="1668" w:type="dxa"/>
          </w:tcPr>
          <w:p w:rsidR="00F5108D" w:rsidRPr="00F5108D" w:rsidRDefault="00F5108D" w:rsidP="00F510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6520" w:type="dxa"/>
          </w:tcPr>
          <w:p w:rsidR="00F5108D" w:rsidRPr="00F5108D" w:rsidRDefault="00F5108D" w:rsidP="005679F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Al, As, B, Be, Cd, Cr, Cu, F, He, Hg, Mo, Mn, Ni, Pb, Rb, Se, Si, Sr, Zn</w:t>
            </w:r>
          </w:p>
        </w:tc>
        <w:tc>
          <w:tcPr>
            <w:tcW w:w="2494" w:type="dxa"/>
          </w:tcPr>
          <w:p w:rsidR="00F5108D" w:rsidRPr="00F5108D" w:rsidRDefault="00F5108D" w:rsidP="005679F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Al, B, Cu, F, Fe, Mo, Mn, Zn</w:t>
            </w:r>
          </w:p>
        </w:tc>
      </w:tr>
      <w:tr w:rsidR="00F5108D" w:rsidRPr="000004F6" w:rsidTr="00F5108D">
        <w:tc>
          <w:tcPr>
            <w:tcW w:w="1668" w:type="dxa"/>
          </w:tcPr>
          <w:p w:rsidR="00F5108D" w:rsidRPr="00F5108D" w:rsidRDefault="00F5108D" w:rsidP="00F510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</w:t>
            </w:r>
          </w:p>
        </w:tc>
        <w:tc>
          <w:tcPr>
            <w:tcW w:w="6520" w:type="dxa"/>
          </w:tcPr>
          <w:p w:rsidR="00F5108D" w:rsidRPr="000004F6" w:rsidRDefault="000004F6" w:rsidP="005679F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Al, B, Hg, Cd, Cr, F, Mo, Mn, Rb</w:t>
            </w:r>
          </w:p>
        </w:tc>
        <w:tc>
          <w:tcPr>
            <w:tcW w:w="2494" w:type="dxa"/>
          </w:tcPr>
          <w:p w:rsidR="00F5108D" w:rsidRPr="000004F6" w:rsidRDefault="000004F6" w:rsidP="000004F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</w:tr>
      <w:tr w:rsidR="00F5108D" w:rsidRPr="000004F6" w:rsidTr="00F5108D">
        <w:tc>
          <w:tcPr>
            <w:tcW w:w="1668" w:type="dxa"/>
          </w:tcPr>
          <w:p w:rsidR="00F5108D" w:rsidRPr="00F5108D" w:rsidRDefault="00F5108D" w:rsidP="00F510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</w:p>
        </w:tc>
        <w:tc>
          <w:tcPr>
            <w:tcW w:w="6520" w:type="dxa"/>
          </w:tcPr>
          <w:p w:rsidR="00F5108D" w:rsidRPr="000004F6" w:rsidRDefault="000004F6" w:rsidP="005679F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As, Ba, Fe, Mo, Pb, Se</w:t>
            </w:r>
          </w:p>
        </w:tc>
        <w:tc>
          <w:tcPr>
            <w:tcW w:w="2494" w:type="dxa"/>
          </w:tcPr>
          <w:p w:rsidR="00F5108D" w:rsidRPr="000004F6" w:rsidRDefault="000004F6" w:rsidP="005679F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F, Fe</w:t>
            </w:r>
          </w:p>
        </w:tc>
      </w:tr>
      <w:tr w:rsidR="00F5108D" w:rsidTr="00F5108D">
        <w:tc>
          <w:tcPr>
            <w:tcW w:w="1668" w:type="dxa"/>
          </w:tcPr>
          <w:p w:rsidR="00F5108D" w:rsidRPr="00F5108D" w:rsidRDefault="00F5108D" w:rsidP="00F510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</w:p>
        </w:tc>
        <w:tc>
          <w:tcPr>
            <w:tcW w:w="6520" w:type="dxa"/>
          </w:tcPr>
          <w:p w:rsidR="00F5108D" w:rsidRPr="000004F6" w:rsidRDefault="000004F6" w:rsidP="005679F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B, F, Cu</w:t>
            </w:r>
          </w:p>
        </w:tc>
        <w:tc>
          <w:tcPr>
            <w:tcW w:w="2494" w:type="dxa"/>
          </w:tcPr>
          <w:p w:rsidR="00F5108D" w:rsidRPr="000004F6" w:rsidRDefault="000004F6" w:rsidP="005679F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B, Cu, Fe, Mo</w:t>
            </w:r>
          </w:p>
        </w:tc>
      </w:tr>
      <w:tr w:rsidR="00F5108D" w:rsidTr="00F5108D">
        <w:tc>
          <w:tcPr>
            <w:tcW w:w="1668" w:type="dxa"/>
          </w:tcPr>
          <w:p w:rsidR="00F5108D" w:rsidRPr="00F5108D" w:rsidRDefault="00F5108D" w:rsidP="00F510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Cl</w:t>
            </w:r>
          </w:p>
        </w:tc>
        <w:tc>
          <w:tcPr>
            <w:tcW w:w="6520" w:type="dxa"/>
          </w:tcPr>
          <w:p w:rsidR="00F5108D" w:rsidRPr="000004F6" w:rsidRDefault="000004F6" w:rsidP="005679F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Br, J</w:t>
            </w:r>
          </w:p>
        </w:tc>
        <w:tc>
          <w:tcPr>
            <w:tcW w:w="2494" w:type="dxa"/>
          </w:tcPr>
          <w:p w:rsidR="00F5108D" w:rsidRPr="000004F6" w:rsidRDefault="000004F6" w:rsidP="000004F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</w:tr>
    </w:tbl>
    <w:p w:rsidR="00F5108D" w:rsidRPr="00F5108D" w:rsidRDefault="00F5108D" w:rsidP="005679F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679FF" w:rsidRDefault="005679FF" w:rsidP="005679FF">
      <w:pPr>
        <w:jc w:val="both"/>
        <w:rPr>
          <w:rFonts w:ascii="Times New Roman" w:hAnsi="Times New Roman" w:cs="Times New Roman"/>
          <w:sz w:val="26"/>
          <w:szCs w:val="26"/>
        </w:rPr>
      </w:pPr>
      <w:r w:rsidRPr="005679FF">
        <w:rPr>
          <w:rFonts w:ascii="Times New Roman" w:hAnsi="Times New Roman" w:cs="Times New Roman"/>
          <w:sz w:val="26"/>
          <w:szCs w:val="26"/>
        </w:rPr>
        <w:t>Антагонистические   эффекты   чаще   всего   реализуются   двумя   путя</w:t>
      </w:r>
      <w:r>
        <w:rPr>
          <w:rFonts w:ascii="Times New Roman" w:hAnsi="Times New Roman" w:cs="Times New Roman"/>
          <w:sz w:val="26"/>
          <w:szCs w:val="26"/>
        </w:rPr>
        <w:t xml:space="preserve">ми:   макрокомпонент   может  </w:t>
      </w:r>
      <w:r w:rsidRPr="005679FF">
        <w:rPr>
          <w:rFonts w:ascii="Times New Roman" w:hAnsi="Times New Roman" w:cs="Times New Roman"/>
          <w:sz w:val="26"/>
          <w:szCs w:val="26"/>
        </w:rPr>
        <w:t>ингибировать   поглощение   микроэлемента,   или,   наоборот,   микроэлем</w:t>
      </w:r>
      <w:r>
        <w:rPr>
          <w:rFonts w:ascii="Times New Roman" w:hAnsi="Times New Roman" w:cs="Times New Roman"/>
          <w:sz w:val="26"/>
          <w:szCs w:val="26"/>
        </w:rPr>
        <w:t xml:space="preserve">ент   ингибирует   поглощение  </w:t>
      </w:r>
      <w:r w:rsidRPr="005679FF">
        <w:rPr>
          <w:rFonts w:ascii="Times New Roman" w:hAnsi="Times New Roman" w:cs="Times New Roman"/>
          <w:sz w:val="26"/>
          <w:szCs w:val="26"/>
        </w:rPr>
        <w:t>макрокомпонента. Эти реакции наблюдаются особенно часто для фосфа</w:t>
      </w:r>
      <w:r>
        <w:rPr>
          <w:rFonts w:ascii="Times New Roman" w:hAnsi="Times New Roman" w:cs="Times New Roman"/>
          <w:sz w:val="26"/>
          <w:szCs w:val="26"/>
        </w:rPr>
        <w:t xml:space="preserve">тов, но были обнаружены также  </w:t>
      </w:r>
      <w:r w:rsidRPr="005679FF">
        <w:rPr>
          <w:rFonts w:ascii="Times New Roman" w:hAnsi="Times New Roman" w:cs="Times New Roman"/>
          <w:sz w:val="26"/>
          <w:szCs w:val="26"/>
        </w:rPr>
        <w:t>для   других   макрокомпонентов   питания,   потребление   и   метаболи</w:t>
      </w:r>
      <w:r>
        <w:rPr>
          <w:rFonts w:ascii="Times New Roman" w:hAnsi="Times New Roman" w:cs="Times New Roman"/>
          <w:sz w:val="26"/>
          <w:szCs w:val="26"/>
        </w:rPr>
        <w:t xml:space="preserve">ческая   активность   которых  </w:t>
      </w:r>
      <w:r w:rsidRPr="005679FF">
        <w:rPr>
          <w:rFonts w:ascii="Times New Roman" w:hAnsi="Times New Roman" w:cs="Times New Roman"/>
          <w:sz w:val="26"/>
          <w:szCs w:val="26"/>
        </w:rPr>
        <w:t>ингибировались ря</w:t>
      </w:r>
      <w:r w:rsidR="00810628">
        <w:rPr>
          <w:rFonts w:ascii="Times New Roman" w:hAnsi="Times New Roman" w:cs="Times New Roman"/>
          <w:sz w:val="26"/>
          <w:szCs w:val="26"/>
        </w:rPr>
        <w:t>дом микроэлементов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679FF" w:rsidRDefault="005679FF" w:rsidP="005679FF">
      <w:pPr>
        <w:jc w:val="both"/>
        <w:rPr>
          <w:rFonts w:ascii="Times New Roman" w:hAnsi="Times New Roman" w:cs="Times New Roman"/>
          <w:sz w:val="26"/>
          <w:szCs w:val="26"/>
        </w:rPr>
      </w:pPr>
      <w:r w:rsidRPr="005679FF">
        <w:rPr>
          <w:rFonts w:ascii="Times New Roman" w:hAnsi="Times New Roman" w:cs="Times New Roman"/>
          <w:sz w:val="26"/>
          <w:szCs w:val="26"/>
        </w:rPr>
        <w:t>Для   практического   применения   наиболее   важно   антагонистическое   дейс</w:t>
      </w:r>
      <w:r>
        <w:rPr>
          <w:rFonts w:ascii="Times New Roman" w:hAnsi="Times New Roman" w:cs="Times New Roman"/>
          <w:sz w:val="26"/>
          <w:szCs w:val="26"/>
        </w:rPr>
        <w:t xml:space="preserve">твие   Са   и   Р  на   такие  </w:t>
      </w:r>
      <w:r w:rsidRPr="005679FF">
        <w:rPr>
          <w:rFonts w:ascii="Times New Roman" w:hAnsi="Times New Roman" w:cs="Times New Roman"/>
          <w:sz w:val="26"/>
          <w:szCs w:val="26"/>
        </w:rPr>
        <w:t>опасные   для   здоровья  человека   тяжелые   металлы,   как  Be,  Cd,  Pb  и  Ni.  Примечательн</w:t>
      </w:r>
      <w:r>
        <w:rPr>
          <w:rFonts w:ascii="Times New Roman" w:hAnsi="Times New Roman" w:cs="Times New Roman"/>
          <w:sz w:val="26"/>
          <w:szCs w:val="26"/>
        </w:rPr>
        <w:t xml:space="preserve">о,   что,   хотя  </w:t>
      </w:r>
      <w:r w:rsidRPr="005679FF">
        <w:rPr>
          <w:rFonts w:ascii="Times New Roman" w:hAnsi="Times New Roman" w:cs="Times New Roman"/>
          <w:sz w:val="26"/>
          <w:szCs w:val="26"/>
        </w:rPr>
        <w:t xml:space="preserve">антагонистическое действие Р и Са на многие микрокатионы и </w:t>
      </w:r>
      <w:r w:rsidRPr="005679FF">
        <w:rPr>
          <w:rFonts w:ascii="Times New Roman" w:hAnsi="Times New Roman" w:cs="Times New Roman"/>
          <w:sz w:val="26"/>
          <w:szCs w:val="26"/>
        </w:rPr>
        <w:lastRenderedPageBreak/>
        <w:t xml:space="preserve">микроанионы часто рассматривается в  литературе,   об   антагонистическом   воздействии  Mg  на   микроэлементы  </w:t>
      </w:r>
      <w:r>
        <w:rPr>
          <w:rFonts w:ascii="Times New Roman" w:hAnsi="Times New Roman" w:cs="Times New Roman"/>
          <w:sz w:val="26"/>
          <w:szCs w:val="26"/>
        </w:rPr>
        <w:t xml:space="preserve"> имеются   только   случайные  </w:t>
      </w:r>
      <w:r w:rsidRPr="005679FF">
        <w:rPr>
          <w:rFonts w:ascii="Times New Roman" w:hAnsi="Times New Roman" w:cs="Times New Roman"/>
          <w:sz w:val="26"/>
          <w:szCs w:val="26"/>
        </w:rPr>
        <w:t xml:space="preserve">работы. </w:t>
      </w:r>
    </w:p>
    <w:p w:rsidR="005679FF" w:rsidRDefault="005679FF" w:rsidP="005679FF">
      <w:pPr>
        <w:jc w:val="both"/>
        <w:rPr>
          <w:rFonts w:ascii="Times New Roman" w:hAnsi="Times New Roman" w:cs="Times New Roman"/>
          <w:sz w:val="26"/>
          <w:szCs w:val="26"/>
        </w:rPr>
      </w:pPr>
      <w:r w:rsidRPr="005679FF">
        <w:rPr>
          <w:rFonts w:ascii="Times New Roman" w:hAnsi="Times New Roman" w:cs="Times New Roman"/>
          <w:sz w:val="26"/>
          <w:szCs w:val="26"/>
        </w:rPr>
        <w:t>Взаимодействия между микроэлементами, наблюдающиеся в самих</w:t>
      </w:r>
      <w:r>
        <w:rPr>
          <w:rFonts w:ascii="Times New Roman" w:hAnsi="Times New Roman" w:cs="Times New Roman"/>
          <w:sz w:val="26"/>
          <w:szCs w:val="26"/>
        </w:rPr>
        <w:t xml:space="preserve"> растениях, также показывают,  </w:t>
      </w:r>
      <w:r w:rsidRPr="005679FF">
        <w:rPr>
          <w:rFonts w:ascii="Times New Roman" w:hAnsi="Times New Roman" w:cs="Times New Roman"/>
          <w:sz w:val="26"/>
          <w:szCs w:val="26"/>
        </w:rPr>
        <w:t>насколько сложны эти процессы, так как они могут быть то антагонис</w:t>
      </w:r>
      <w:r>
        <w:rPr>
          <w:rFonts w:ascii="Times New Roman" w:hAnsi="Times New Roman" w:cs="Times New Roman"/>
          <w:sz w:val="26"/>
          <w:szCs w:val="26"/>
        </w:rPr>
        <w:t xml:space="preserve">тическими, то синергическими.  </w:t>
      </w:r>
      <w:r w:rsidRPr="005679FF">
        <w:rPr>
          <w:rFonts w:ascii="Times New Roman" w:hAnsi="Times New Roman" w:cs="Times New Roman"/>
          <w:sz w:val="26"/>
          <w:szCs w:val="26"/>
        </w:rPr>
        <w:t>Иногда   они   проявляются   в   метаболизме   более</w:t>
      </w:r>
      <w:r w:rsidR="00810628">
        <w:rPr>
          <w:rFonts w:ascii="Times New Roman" w:hAnsi="Times New Roman" w:cs="Times New Roman"/>
          <w:sz w:val="26"/>
          <w:szCs w:val="26"/>
        </w:rPr>
        <w:t xml:space="preserve">   чем   двух   элементов</w:t>
      </w:r>
      <w:r>
        <w:rPr>
          <w:rFonts w:ascii="Times New Roman" w:hAnsi="Times New Roman" w:cs="Times New Roman"/>
          <w:sz w:val="26"/>
          <w:szCs w:val="26"/>
        </w:rPr>
        <w:t xml:space="preserve">.   Наибольшее   число  </w:t>
      </w:r>
      <w:r w:rsidRPr="005679FF">
        <w:rPr>
          <w:rFonts w:ascii="Times New Roman" w:hAnsi="Times New Roman" w:cs="Times New Roman"/>
          <w:sz w:val="26"/>
          <w:szCs w:val="26"/>
        </w:rPr>
        <w:t xml:space="preserve">антагонистических   реакций   наблюдалось   для   Fe,   Mn,   Cu,   и   Zn,   которые,   очевидно,   являются  ключевыми элементами </w:t>
      </w:r>
      <w:r w:rsidR="00810628">
        <w:rPr>
          <w:rFonts w:ascii="Times New Roman" w:hAnsi="Times New Roman" w:cs="Times New Roman"/>
          <w:sz w:val="26"/>
          <w:szCs w:val="26"/>
        </w:rPr>
        <w:t>в физиологии растений</w:t>
      </w:r>
      <w:r w:rsidRPr="005679FF">
        <w:rPr>
          <w:rFonts w:ascii="Times New Roman" w:hAnsi="Times New Roman" w:cs="Times New Roman"/>
          <w:sz w:val="26"/>
          <w:szCs w:val="26"/>
        </w:rPr>
        <w:t>. Функции э</w:t>
      </w:r>
      <w:r>
        <w:rPr>
          <w:rFonts w:ascii="Times New Roman" w:hAnsi="Times New Roman" w:cs="Times New Roman"/>
          <w:sz w:val="26"/>
          <w:szCs w:val="26"/>
        </w:rPr>
        <w:t xml:space="preserve">тих микроэлементов связаны с  </w:t>
      </w:r>
      <w:r w:rsidRPr="005679FF">
        <w:rPr>
          <w:rFonts w:ascii="Times New Roman" w:hAnsi="Times New Roman" w:cs="Times New Roman"/>
          <w:sz w:val="26"/>
          <w:szCs w:val="26"/>
        </w:rPr>
        <w:t>процессами   поглощения   и   с   энзиматическими   реакциями.   Среди   ос</w:t>
      </w:r>
      <w:r>
        <w:rPr>
          <w:rFonts w:ascii="Times New Roman" w:hAnsi="Times New Roman" w:cs="Times New Roman"/>
          <w:sz w:val="26"/>
          <w:szCs w:val="26"/>
        </w:rPr>
        <w:t xml:space="preserve">тальных   микроэлементов   в  </w:t>
      </w:r>
      <w:r w:rsidRPr="005679FF">
        <w:rPr>
          <w:rFonts w:ascii="Times New Roman" w:hAnsi="Times New Roman" w:cs="Times New Roman"/>
          <w:sz w:val="26"/>
          <w:szCs w:val="26"/>
        </w:rPr>
        <w:t xml:space="preserve">антагонистических отношениях к этой четверке часто оказываются Сr, </w:t>
      </w:r>
      <w:r>
        <w:rPr>
          <w:rFonts w:ascii="Times New Roman" w:hAnsi="Times New Roman" w:cs="Times New Roman"/>
          <w:sz w:val="26"/>
          <w:szCs w:val="26"/>
        </w:rPr>
        <w:t xml:space="preserve">Мо и Se. </w:t>
      </w:r>
      <w:r w:rsidRPr="00810628">
        <w:rPr>
          <w:rFonts w:ascii="Times New Roman" w:hAnsi="Times New Roman" w:cs="Times New Roman"/>
          <w:b/>
          <w:i/>
          <w:sz w:val="26"/>
          <w:szCs w:val="26"/>
        </w:rPr>
        <w:t>Синергическое взаимодействие между микроэлементами обычно не наблюдается.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0628">
        <w:rPr>
          <w:rFonts w:ascii="Times New Roman" w:hAnsi="Times New Roman" w:cs="Times New Roman"/>
          <w:b/>
          <w:i/>
          <w:sz w:val="26"/>
          <w:szCs w:val="26"/>
        </w:rPr>
        <w:t>Синергизм Cd с  такими   микроэлементами,   как   Pb,   Fe   и   Ni,   может   быть   артефактом,   возникающим   вследствие  разрушения     физиологических     барьеров     под     действием     стресса,     вызванного     избыточными  концентрациями   тяжелых   металлов.</w:t>
      </w:r>
      <w:r w:rsidRPr="005679FF">
        <w:rPr>
          <w:rFonts w:ascii="Times New Roman" w:hAnsi="Times New Roman" w:cs="Times New Roman"/>
          <w:sz w:val="26"/>
          <w:szCs w:val="26"/>
        </w:rPr>
        <w:t xml:space="preserve">   Кроме   того,   некоторые   реакции,   происходящие   в   среде,  окружающей корни, и влияющие на потребление микроэлементов кор</w:t>
      </w:r>
      <w:r>
        <w:rPr>
          <w:rFonts w:ascii="Times New Roman" w:hAnsi="Times New Roman" w:cs="Times New Roman"/>
          <w:sz w:val="26"/>
          <w:szCs w:val="26"/>
        </w:rPr>
        <w:t xml:space="preserve">нями, по-видимому, не связаны  </w:t>
      </w:r>
      <w:r w:rsidRPr="005679FF">
        <w:rPr>
          <w:rFonts w:ascii="Times New Roman" w:hAnsi="Times New Roman" w:cs="Times New Roman"/>
          <w:sz w:val="26"/>
          <w:szCs w:val="26"/>
        </w:rPr>
        <w:t>непосредственно   с   метаболическими   взаимодействиями,   однако   эти   д</w:t>
      </w:r>
      <w:r>
        <w:rPr>
          <w:rFonts w:ascii="Times New Roman" w:hAnsi="Times New Roman" w:cs="Times New Roman"/>
          <w:sz w:val="26"/>
          <w:szCs w:val="26"/>
        </w:rPr>
        <w:t xml:space="preserve">ва   типа   реакций   нелегко  </w:t>
      </w:r>
      <w:r w:rsidRPr="005679FF">
        <w:rPr>
          <w:rFonts w:ascii="Times New Roman" w:hAnsi="Times New Roman" w:cs="Times New Roman"/>
          <w:sz w:val="26"/>
          <w:szCs w:val="26"/>
        </w:rPr>
        <w:t>различить.</w:t>
      </w:r>
    </w:p>
    <w:p w:rsidR="005679FF" w:rsidRDefault="005679FF" w:rsidP="005679F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679FF" w:rsidRPr="00AD384A" w:rsidRDefault="005679FF" w:rsidP="00567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ИСТОЧНИК</w:t>
      </w:r>
      <w:r w:rsidRPr="00AD384A">
        <w:rPr>
          <w:rFonts w:ascii="Times New Roman" w:hAnsi="Times New Roman" w:cs="Times New Roman"/>
          <w:sz w:val="26"/>
          <w:szCs w:val="26"/>
          <w:lang w:val="en-US"/>
        </w:rPr>
        <w:t xml:space="preserve">: Kabata-Pendias, Alina. Trace elements in soils and plants / Alina Kabata-Pendias. -- 4th ed. </w:t>
      </w:r>
      <w:r>
        <w:rPr>
          <w:rFonts w:ascii="Times New Roman" w:hAnsi="Times New Roman" w:cs="Times New Roman"/>
          <w:sz w:val="26"/>
          <w:szCs w:val="26"/>
          <w:lang w:val="en-US"/>
        </w:rPr>
        <w:t>–</w:t>
      </w:r>
      <w:r w:rsidRPr="00AD384A">
        <w:rPr>
          <w:rFonts w:ascii="Times New Roman" w:hAnsi="Times New Roman" w:cs="Times New Roman"/>
          <w:sz w:val="26"/>
          <w:szCs w:val="26"/>
          <w:lang w:val="en-US"/>
        </w:rPr>
        <w:t xml:space="preserve"> 2010.;  Кабата-Пендиас А., Пендиас X.  </w:t>
      </w:r>
      <w:r w:rsidRPr="00AD384A">
        <w:rPr>
          <w:rFonts w:ascii="Times New Roman" w:hAnsi="Times New Roman" w:cs="Times New Roman"/>
          <w:sz w:val="26"/>
          <w:szCs w:val="26"/>
        </w:rPr>
        <w:t xml:space="preserve">Микроэлементы в почвах и растениях: Пер. с англ. - М.: Мир, 1989. -  439 с,  </w:t>
      </w:r>
      <w:r w:rsidRPr="00AD384A">
        <w:rPr>
          <w:rFonts w:ascii="Times New Roman" w:hAnsi="Times New Roman" w:cs="Times New Roman"/>
          <w:sz w:val="26"/>
          <w:szCs w:val="26"/>
        </w:rPr>
        <w:cr/>
      </w:r>
    </w:p>
    <w:p w:rsidR="005679FF" w:rsidRPr="005679FF" w:rsidRDefault="005679FF" w:rsidP="005679FF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5679FF" w:rsidRPr="005679FF" w:rsidSect="005679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5679FF"/>
    <w:rsid w:val="000004F6"/>
    <w:rsid w:val="005679FF"/>
    <w:rsid w:val="006425CC"/>
    <w:rsid w:val="00810628"/>
    <w:rsid w:val="00F51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0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Genia U</dc:creator>
  <cp:keywords/>
  <dc:description/>
  <cp:lastModifiedBy>Genia U</cp:lastModifiedBy>
  <cp:revision>2</cp:revision>
  <dcterms:created xsi:type="dcterms:W3CDTF">2012-02-14T09:01:00Z</dcterms:created>
  <dcterms:modified xsi:type="dcterms:W3CDTF">2012-02-14T09:35:00Z</dcterms:modified>
</cp:coreProperties>
</file>